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949" w:rsidRDefault="00C36949" w:rsidP="00055B43">
      <w:pPr>
        <w:jc w:val="center"/>
        <w:rPr>
          <w:rFonts w:ascii="Arial Black" w:hAnsi="Arial Black" w:cs="Arial"/>
          <w:b/>
          <w:sz w:val="56"/>
          <w:szCs w:val="56"/>
        </w:rPr>
      </w:pPr>
    </w:p>
    <w:p w:rsidR="00C36949" w:rsidRDefault="00C36949" w:rsidP="00C36949">
      <w:pPr>
        <w:rPr>
          <w:lang w:eastAsia="en-US"/>
        </w:rPr>
      </w:pPr>
      <w:r>
        <w:t>Volkstreue Grüße</w:t>
      </w:r>
      <w:r>
        <w:br/>
        <w:t xml:space="preserve">Günter (Deckert) &amp; Familie </w:t>
      </w:r>
    </w:p>
    <w:p w:rsidR="00C36949" w:rsidRDefault="00C36949" w:rsidP="00C36949">
      <w:pPr>
        <w:jc w:val="center"/>
      </w:pPr>
      <w:r>
        <w:pict>
          <v:rect id="_x0000_i1025" style="width:538.6pt;height:1.2pt" o:hralign="center" o:hrstd="t" o:hr="t" fillcolor="#a0a0a0" stroked="f"/>
        </w:pict>
      </w:r>
    </w:p>
    <w:p w:rsidR="00C36949" w:rsidRDefault="00C36949" w:rsidP="00C36949">
      <w:pPr>
        <w:jc w:val="center"/>
        <w:rPr>
          <w:rFonts w:ascii="Bookman Old Style" w:eastAsiaTheme="minorHAnsi" w:hAnsi="Bookman Old Style"/>
          <w:b/>
          <w:bCs/>
          <w:i/>
          <w:iCs/>
          <w:sz w:val="56"/>
          <w:szCs w:val="56"/>
        </w:rPr>
      </w:pPr>
      <w:r>
        <w:rPr>
          <w:rFonts w:ascii="Bookman Old Style" w:hAnsi="Bookman Old Style"/>
          <w:b/>
          <w:bCs/>
          <w:i/>
          <w:iCs/>
          <w:sz w:val="48"/>
          <w:szCs w:val="48"/>
        </w:rPr>
        <w:t>DEUTSCHER KREIS KURPFALZ</w:t>
      </w:r>
      <w:r>
        <w:rPr>
          <w:rFonts w:ascii="Bookman Old Style" w:hAnsi="Bookman Old Style"/>
          <w:b/>
          <w:bCs/>
          <w:i/>
          <w:iCs/>
          <w:sz w:val="56"/>
          <w:szCs w:val="56"/>
        </w:rPr>
        <w:t xml:space="preserve"> (DKK)</w:t>
      </w:r>
    </w:p>
    <w:p w:rsidR="00C36949" w:rsidRDefault="00C36949" w:rsidP="00C36949">
      <w:pPr>
        <w:jc w:val="center"/>
        <w:rPr>
          <w:rFonts w:ascii="Franklin Gothic Book" w:hAnsi="Franklin Gothic Book"/>
          <w:b/>
          <w:bCs/>
          <w:i/>
          <w:iCs/>
        </w:rPr>
      </w:pPr>
      <w:r>
        <w:rPr>
          <w:rFonts w:ascii="Franklin Gothic Book" w:hAnsi="Franklin Gothic Book"/>
          <w:b/>
          <w:bCs/>
          <w:i/>
          <w:iCs/>
        </w:rPr>
        <w:t>In Verbindung mit der AG „Bürger für aktive Freizeit“</w:t>
      </w:r>
    </w:p>
    <w:p w:rsidR="00C36949" w:rsidRDefault="00C36949" w:rsidP="00C36949">
      <w:pPr>
        <w:jc w:val="center"/>
        <w:rPr>
          <w:rFonts w:ascii="Franklin Gothic Book" w:hAnsi="Franklin Gothic Book"/>
          <w:i/>
          <w:iCs/>
        </w:rPr>
      </w:pPr>
      <w:r>
        <w:rPr>
          <w:rFonts w:ascii="Franklin Gothic Book" w:hAnsi="Franklin Gothic Book"/>
          <w:i/>
          <w:iCs/>
        </w:rPr>
        <w:t>Günter</w:t>
      </w:r>
      <w:r>
        <w:rPr>
          <w:rFonts w:ascii="Franklin Gothic Book" w:hAnsi="Franklin Gothic Book"/>
          <w:b/>
          <w:bCs/>
          <w:i/>
          <w:iCs/>
        </w:rPr>
        <w:t xml:space="preserve"> Deckert</w:t>
      </w:r>
      <w:r>
        <w:rPr>
          <w:rFonts w:ascii="Franklin Gothic Book" w:hAnsi="Franklin Gothic Book"/>
          <w:i/>
          <w:iCs/>
        </w:rPr>
        <w:t xml:space="preserve"> – Pf. 100 245, (D) 69442 Weinheim/B. – </w:t>
      </w:r>
      <w:hyperlink r:id="rId5" w:history="1">
        <w:r>
          <w:rPr>
            <w:rStyle w:val="Hyperlink"/>
            <w:rFonts w:ascii="Franklin Gothic Book" w:hAnsi="Franklin Gothic Book"/>
            <w:i/>
            <w:iCs/>
          </w:rPr>
          <w:t>www.guenterdeckert.de</w:t>
        </w:r>
      </w:hyperlink>
      <w:r>
        <w:rPr>
          <w:rFonts w:ascii="Franklin Gothic Book" w:hAnsi="Franklin Gothic Book"/>
          <w:i/>
          <w:iCs/>
        </w:rPr>
        <w:t xml:space="preserve"> </w:t>
      </w:r>
    </w:p>
    <w:p w:rsidR="00C36949" w:rsidRDefault="00C36949" w:rsidP="00C36949">
      <w:pPr>
        <w:jc w:val="center"/>
        <w:rPr>
          <w:rFonts w:ascii="Franklin Gothic Book" w:hAnsi="Franklin Gothic Book"/>
          <w:i/>
          <w:iCs/>
          <w:sz w:val="22"/>
          <w:szCs w:val="22"/>
        </w:rPr>
      </w:pPr>
      <w:r>
        <w:rPr>
          <w:rFonts w:ascii="Franklin Gothic Book" w:hAnsi="Franklin Gothic Book"/>
          <w:i/>
          <w:iCs/>
          <w:sz w:val="22"/>
          <w:szCs w:val="22"/>
          <w:u w:val="single"/>
        </w:rPr>
        <w:t>Ruf:</w:t>
      </w:r>
      <w:r>
        <w:rPr>
          <w:rFonts w:ascii="Franklin Gothic Book" w:hAnsi="Franklin Gothic Book"/>
          <w:i/>
          <w:iCs/>
          <w:sz w:val="22"/>
          <w:szCs w:val="22"/>
        </w:rPr>
        <w:t xml:space="preserve"> 06201 – 61329 (am besten zwischen 10.30 – 12 Uhr + 18 – 19 Uhr)  --  </w:t>
      </w:r>
      <w:hyperlink r:id="rId6" w:history="1">
        <w:r>
          <w:rPr>
            <w:rStyle w:val="Hyperlink"/>
            <w:rFonts w:ascii="Franklin Gothic Book" w:hAnsi="Franklin Gothic Book"/>
            <w:i/>
            <w:iCs/>
            <w:sz w:val="22"/>
            <w:szCs w:val="22"/>
          </w:rPr>
          <w:t>Guenter.Deckert@gmx.de</w:t>
        </w:r>
      </w:hyperlink>
      <w:r>
        <w:rPr>
          <w:rFonts w:ascii="Franklin Gothic Book" w:hAnsi="Franklin Gothic Book"/>
          <w:i/>
          <w:iCs/>
          <w:sz w:val="22"/>
          <w:szCs w:val="22"/>
        </w:rPr>
        <w:t xml:space="preserve"> </w:t>
      </w:r>
    </w:p>
    <w:p w:rsidR="00C36949" w:rsidRDefault="00C36949" w:rsidP="00C36949">
      <w:pPr>
        <w:jc w:val="center"/>
        <w:rPr>
          <w:rFonts w:ascii="Franklin Gothic Book" w:hAnsi="Franklin Gothic Book"/>
          <w:i/>
          <w:iCs/>
          <w:sz w:val="22"/>
          <w:szCs w:val="22"/>
        </w:rPr>
      </w:pPr>
      <w:r>
        <w:rPr>
          <w:rFonts w:ascii="Franklin Gothic Book" w:hAnsi="Franklin Gothic Book"/>
          <w:i/>
          <w:iCs/>
          <w:sz w:val="22"/>
          <w:szCs w:val="22"/>
        </w:rPr>
        <w:t>Spendenkonto 134345-754 – Postbank KA, BLZ 660 100 75 --- Vermerk „Spende DKK“</w:t>
      </w:r>
    </w:p>
    <w:p w:rsidR="00C36949" w:rsidRDefault="00C36949" w:rsidP="00C36949">
      <w:pPr>
        <w:jc w:val="center"/>
        <w:rPr>
          <w:rFonts w:ascii="Franklin Gothic Book" w:hAnsi="Franklin Gothic Book"/>
          <w:b/>
          <w:bCs/>
          <w:sz w:val="22"/>
          <w:szCs w:val="22"/>
        </w:rPr>
      </w:pPr>
    </w:p>
    <w:p w:rsidR="00C36949" w:rsidRDefault="00C36949" w:rsidP="00C36949">
      <w:pPr>
        <w:jc w:val="center"/>
        <w:rPr>
          <w:rFonts w:ascii="Franklin Gothic Book" w:hAnsi="Franklin Gothic Book"/>
          <w:i/>
          <w:iCs/>
          <w:sz w:val="22"/>
          <w:szCs w:val="22"/>
        </w:rPr>
      </w:pPr>
      <w:r>
        <w:rPr>
          <w:rFonts w:ascii="Franklin Gothic Book" w:hAnsi="Franklin Gothic Book"/>
          <w:i/>
          <w:iCs/>
          <w:sz w:val="22"/>
          <w:szCs w:val="22"/>
        </w:rPr>
        <w:t>„Falls Freiheit überhaupt  (irgend)etwas bedeutet, dann bedeutet sie das RECHT, den Leuten das zu sagen, was sie NICHT hören wollen.“</w:t>
      </w:r>
    </w:p>
    <w:p w:rsidR="00C36949" w:rsidRDefault="00C36949" w:rsidP="00C36949">
      <w:pPr>
        <w:jc w:val="center"/>
        <w:rPr>
          <w:rFonts w:ascii="Franklin Gothic Book" w:hAnsi="Franklin Gothic Book"/>
          <w:sz w:val="20"/>
          <w:szCs w:val="20"/>
        </w:rPr>
      </w:pPr>
      <w:r>
        <w:rPr>
          <w:rFonts w:ascii="Franklin Gothic Book" w:hAnsi="Franklin Gothic Book"/>
          <w:sz w:val="20"/>
          <w:szCs w:val="20"/>
        </w:rPr>
        <w:t>George Orwell</w:t>
      </w:r>
    </w:p>
    <w:p w:rsidR="00C36949" w:rsidRDefault="00C36949" w:rsidP="00C36949">
      <w:pPr>
        <w:jc w:val="center"/>
        <w:rPr>
          <w:rFonts w:ascii="Franklin Gothic Book" w:hAnsi="Franklin Gothic Book"/>
          <w:sz w:val="22"/>
          <w:szCs w:val="22"/>
        </w:rPr>
      </w:pPr>
    </w:p>
    <w:p w:rsidR="00C36949" w:rsidRDefault="00C36949" w:rsidP="00C36949">
      <w:pPr>
        <w:jc w:val="center"/>
        <w:rPr>
          <w:rFonts w:ascii="Franklin Gothic Book" w:hAnsi="Franklin Gothic Book"/>
          <w:b/>
          <w:bCs/>
          <w:i/>
          <w:iCs/>
          <w:sz w:val="28"/>
          <w:szCs w:val="28"/>
        </w:rPr>
      </w:pPr>
      <w:r>
        <w:rPr>
          <w:rFonts w:ascii="Franklin Gothic Book" w:hAnsi="Franklin Gothic Book"/>
          <w:b/>
          <w:bCs/>
          <w:i/>
          <w:iCs/>
          <w:sz w:val="28"/>
          <w:szCs w:val="28"/>
        </w:rPr>
        <w:t>Herzliche Einladung zum  „Kurpällsa Schdammdisch“ / Jahresabschluß 2014</w:t>
      </w:r>
    </w:p>
    <w:p w:rsidR="00C36949" w:rsidRDefault="00C36949" w:rsidP="00C36949">
      <w:pPr>
        <w:jc w:val="center"/>
        <w:rPr>
          <w:rFonts w:ascii="Franklin Gothic Book" w:hAnsi="Franklin Gothic Book"/>
        </w:rPr>
      </w:pPr>
      <w:r>
        <w:rPr>
          <w:rFonts w:ascii="Franklin Gothic Book" w:hAnsi="Franklin Gothic Book"/>
          <w:b/>
          <w:bCs/>
          <w:i/>
          <w:iCs/>
        </w:rPr>
        <w:t>am Sa. 27. Dezember,  </w:t>
      </w:r>
      <w:r>
        <w:rPr>
          <w:rFonts w:ascii="Franklin Gothic Book" w:hAnsi="Franklin Gothic Book"/>
          <w:b/>
          <w:bCs/>
          <w:i/>
          <w:iCs/>
          <w:sz w:val="32"/>
          <w:szCs w:val="32"/>
          <w:u w:val="single"/>
        </w:rPr>
        <w:t>ab 17 Uhr</w:t>
      </w:r>
      <w:r>
        <w:rPr>
          <w:rFonts w:ascii="Franklin Gothic Book" w:hAnsi="Franklin Gothic Book"/>
          <w:b/>
          <w:bCs/>
          <w:i/>
          <w:iCs/>
        </w:rPr>
        <w:t xml:space="preserve">, </w:t>
      </w:r>
      <w:r>
        <w:rPr>
          <w:rFonts w:ascii="Franklin Gothic Book" w:hAnsi="Franklin Gothic Book"/>
          <w:b/>
          <w:bCs/>
          <w:i/>
          <w:iCs/>
          <w:u w:val="single"/>
        </w:rPr>
        <w:t>Verkehrslokal im Raum Heidelberg</w:t>
      </w:r>
      <w:r>
        <w:rPr>
          <w:rFonts w:ascii="Franklin Gothic Book" w:hAnsi="Franklin Gothic Book"/>
        </w:rPr>
        <w:t xml:space="preserve">  </w:t>
      </w:r>
      <w:r>
        <w:rPr>
          <w:rFonts w:ascii="Franklin Gothic Book" w:hAnsi="Franklin Gothic Book"/>
          <w:i/>
          <w:iCs/>
        </w:rPr>
        <w:t>(wie bisher)</w:t>
      </w:r>
    </w:p>
    <w:p w:rsidR="00C36949" w:rsidRDefault="00C36949" w:rsidP="00C36949">
      <w:pPr>
        <w:jc w:val="center"/>
        <w:rPr>
          <w:rFonts w:ascii="Franklin Gothic Book" w:hAnsi="Franklin Gothic Book"/>
          <w:b/>
          <w:bCs/>
          <w:i/>
          <w:iCs/>
        </w:rPr>
      </w:pPr>
      <w:r>
        <w:rPr>
          <w:rFonts w:ascii="Franklin Gothic Book" w:hAnsi="Franklin Gothic Book"/>
          <w:b/>
          <w:bCs/>
          <w:i/>
          <w:iCs/>
        </w:rPr>
        <w:t>Offene Runde – Fragen / Antworten mit Günter Deckert</w:t>
      </w:r>
    </w:p>
    <w:p w:rsidR="00C36949" w:rsidRDefault="00C36949" w:rsidP="00C36949">
      <w:pPr>
        <w:jc w:val="center"/>
        <w:rPr>
          <w:rFonts w:ascii="Franklin Gothic Book" w:hAnsi="Franklin Gothic Book"/>
          <w:b/>
          <w:bCs/>
          <w:i/>
          <w:iCs/>
        </w:rPr>
      </w:pPr>
    </w:p>
    <w:p w:rsidR="00C36949" w:rsidRDefault="00C36949" w:rsidP="00C36949">
      <w:pPr>
        <w:jc w:val="center"/>
        <w:rPr>
          <w:rFonts w:ascii="Franklin Gothic Book" w:hAnsi="Franklin Gothic Book"/>
          <w:b/>
          <w:bCs/>
          <w:i/>
          <w:iCs/>
          <w:sz w:val="20"/>
          <w:szCs w:val="20"/>
          <w:u w:val="single"/>
        </w:rPr>
      </w:pPr>
      <w:r>
        <w:rPr>
          <w:rFonts w:ascii="Franklin Gothic Book" w:hAnsi="Franklin Gothic Book"/>
          <w:b/>
          <w:bCs/>
          <w:sz w:val="20"/>
          <w:szCs w:val="20"/>
          <w:u w:val="single"/>
        </w:rPr>
        <w:t>P</w:t>
      </w:r>
      <w:r>
        <w:rPr>
          <w:rFonts w:ascii="Franklin Gothic Book" w:hAnsi="Franklin Gothic Book"/>
          <w:b/>
          <w:bCs/>
          <w:i/>
          <w:iCs/>
          <w:sz w:val="20"/>
          <w:szCs w:val="20"/>
          <w:u w:val="single"/>
        </w:rPr>
        <w:t>ostempfänger wollen bitte den Sammlerumschlag zur Veranstaltung mitbringen.</w:t>
      </w:r>
    </w:p>
    <w:p w:rsidR="00C36949" w:rsidRDefault="00C36949" w:rsidP="00C36949">
      <w:pPr>
        <w:jc w:val="center"/>
        <w:rPr>
          <w:rFonts w:ascii="Franklin Gothic Book" w:hAnsi="Franklin Gothic Book"/>
          <w:b/>
          <w:bCs/>
          <w:i/>
          <w:iCs/>
          <w:sz w:val="20"/>
          <w:szCs w:val="20"/>
          <w:u w:val="single"/>
        </w:rPr>
      </w:pPr>
    </w:p>
    <w:p w:rsidR="00C36949" w:rsidRDefault="00C36949" w:rsidP="00C36949">
      <w:pPr>
        <w:jc w:val="both"/>
        <w:rPr>
          <w:rFonts w:ascii="Franklin Gothic Book" w:hAnsi="Franklin Gothic Book"/>
          <w:b/>
          <w:bCs/>
          <w:i/>
          <w:iCs/>
          <w:sz w:val="20"/>
          <w:szCs w:val="20"/>
        </w:rPr>
      </w:pPr>
      <w:r>
        <w:rPr>
          <w:rFonts w:ascii="Franklin Gothic Book" w:hAnsi="Franklin Gothic Book"/>
          <w:i/>
          <w:iCs/>
          <w:sz w:val="20"/>
          <w:szCs w:val="20"/>
        </w:rPr>
        <w:t>B</w:t>
      </w:r>
      <w:r>
        <w:rPr>
          <w:rFonts w:ascii="Franklin Gothic Book" w:hAnsi="Franklin Gothic Book"/>
          <w:b/>
          <w:bCs/>
          <w:i/>
          <w:iCs/>
          <w:sz w:val="20"/>
          <w:szCs w:val="20"/>
        </w:rPr>
        <w:t>este volkstreue Grüße, besinnliche Stunden zum Jahresausklang im Kreise der Angehörigen und Freunde sowie ein gutes, vor allem aber gesundes neues Jahr</w:t>
      </w:r>
    </w:p>
    <w:p w:rsidR="00C36949" w:rsidRDefault="00C36949" w:rsidP="00C36949">
      <w:pPr>
        <w:jc w:val="both"/>
        <w:rPr>
          <w:rFonts w:ascii="Franklin Gothic Book" w:hAnsi="Franklin Gothic Book"/>
          <w:i/>
          <w:iCs/>
          <w:sz w:val="20"/>
          <w:szCs w:val="20"/>
        </w:rPr>
      </w:pPr>
    </w:p>
    <w:p w:rsidR="00C36949" w:rsidRDefault="00C36949" w:rsidP="00C36949">
      <w:pPr>
        <w:jc w:val="both"/>
        <w:rPr>
          <w:rFonts w:ascii="Franklin Gothic Book" w:hAnsi="Franklin Gothic Book"/>
          <w:i/>
          <w:iCs/>
          <w:sz w:val="20"/>
          <w:szCs w:val="20"/>
        </w:rPr>
      </w:pPr>
      <w:r>
        <w:rPr>
          <w:rFonts w:ascii="Franklin Gothic Book" w:hAnsi="Franklin Gothic Book"/>
          <w:b/>
          <w:bCs/>
          <w:i/>
          <w:iCs/>
          <w:sz w:val="20"/>
          <w:szCs w:val="20"/>
        </w:rPr>
        <w:t>Günter Deckert</w:t>
      </w:r>
      <w:r>
        <w:rPr>
          <w:rFonts w:ascii="Franklin Gothic Book" w:hAnsi="Franklin Gothic Book"/>
          <w:i/>
          <w:iCs/>
          <w:sz w:val="20"/>
          <w:szCs w:val="20"/>
        </w:rPr>
        <w:t xml:space="preserve"> &amp; „Mitstreiter</w:t>
      </w:r>
    </w:p>
    <w:p w:rsidR="00C36949" w:rsidRDefault="00C36949" w:rsidP="00C36949">
      <w:pPr>
        <w:jc w:val="center"/>
        <w:rPr>
          <w:rFonts w:ascii="Franklin Gothic Book" w:hAnsi="Franklin Gothic Book"/>
        </w:rPr>
      </w:pPr>
      <w:r>
        <w:rPr>
          <w:rFonts w:ascii="Franklin Gothic Book" w:hAnsi="Franklin Gothic Book"/>
        </w:rPr>
        <w:t>WER Gäste, die jederzeit willkommen sind, mitbringt, bürgt für diese.</w:t>
      </w:r>
    </w:p>
    <w:p w:rsidR="00C36949" w:rsidRDefault="00C36949" w:rsidP="00C36949">
      <w:pPr>
        <w:jc w:val="both"/>
        <w:rPr>
          <w:rFonts w:ascii="Franklin Gothic Book" w:hAnsi="Franklin Gothic Book"/>
          <w:b/>
          <w:bCs/>
          <w:sz w:val="22"/>
          <w:szCs w:val="22"/>
        </w:rPr>
      </w:pPr>
    </w:p>
    <w:p w:rsidR="00C36949" w:rsidRDefault="00C36949" w:rsidP="00C36949">
      <w:pPr>
        <w:jc w:val="both"/>
        <w:rPr>
          <w:rFonts w:ascii="Franklin Gothic Book" w:hAnsi="Franklin Gothic Book"/>
          <w:b/>
          <w:bCs/>
          <w:i/>
          <w:iCs/>
          <w:sz w:val="22"/>
          <w:szCs w:val="22"/>
        </w:rPr>
      </w:pPr>
      <w:r>
        <w:rPr>
          <w:rFonts w:ascii="Franklin Gothic Book" w:hAnsi="Franklin Gothic Book"/>
          <w:b/>
          <w:bCs/>
          <w:sz w:val="22"/>
          <w:szCs w:val="22"/>
        </w:rPr>
        <w:t>G. Deckert:</w:t>
      </w:r>
      <w:r>
        <w:rPr>
          <w:rFonts w:ascii="Franklin Gothic Book" w:hAnsi="Franklin Gothic Book"/>
          <w:sz w:val="22"/>
          <w:szCs w:val="22"/>
        </w:rPr>
        <w:t xml:space="preserve"> „</w:t>
      </w:r>
      <w:r>
        <w:rPr>
          <w:rFonts w:ascii="Franklin Gothic Book" w:hAnsi="Franklin Gothic Book"/>
          <w:b/>
          <w:bCs/>
          <w:sz w:val="22"/>
          <w:szCs w:val="22"/>
        </w:rPr>
        <w:t>Hinter Gittern in deutschen Kerkern – Wie man als Geschichtsrevisionist abgeurteilt und kriminalisiert wird</w:t>
      </w:r>
      <w:r>
        <w:rPr>
          <w:rFonts w:ascii="Franklin Gothic Book" w:hAnsi="Franklin Gothic Book"/>
          <w:sz w:val="22"/>
          <w:szCs w:val="22"/>
        </w:rPr>
        <w:t>.“  832 S.</w:t>
      </w:r>
      <w:r>
        <w:rPr>
          <w:rFonts w:ascii="Franklin Gothic Book" w:hAnsi="Franklin Gothic Book"/>
          <w:b/>
          <w:bCs/>
          <w:sz w:val="22"/>
          <w:szCs w:val="22"/>
        </w:rPr>
        <w:t>.,</w:t>
      </w:r>
      <w:r>
        <w:rPr>
          <w:rFonts w:ascii="Franklin Gothic Book" w:hAnsi="Franklin Gothic Book"/>
          <w:sz w:val="22"/>
          <w:szCs w:val="22"/>
        </w:rPr>
        <w:t xml:space="preserve"> fester Einband, leider nun 29, 95 €, Versand Inland eingeschlossen; EU-Ausland + 5, 00 €, sonstiges Ausland 17 €, hier Brief als günstigster Tarif. </w:t>
      </w:r>
      <w:r>
        <w:rPr>
          <w:rFonts w:ascii="Franklin Gothic Book" w:hAnsi="Franklin Gothic Book"/>
          <w:b/>
          <w:bCs/>
          <w:sz w:val="22"/>
          <w:szCs w:val="22"/>
        </w:rPr>
        <w:t xml:space="preserve">--- Bei 3 Ex. an eine Anschrift Inland NUR 75 €; Versand eingeschlossen!  --- </w:t>
      </w:r>
    </w:p>
    <w:p w:rsidR="00C36949" w:rsidRDefault="00C36949" w:rsidP="00C36949">
      <w:pPr>
        <w:jc w:val="center"/>
        <w:rPr>
          <w:rFonts w:ascii="Franklin Gothic Book" w:hAnsi="Franklin Gothic Book"/>
          <w:b/>
          <w:bCs/>
          <w:sz w:val="22"/>
          <w:szCs w:val="22"/>
          <w:u w:val="single"/>
        </w:rPr>
      </w:pPr>
      <w:r>
        <w:rPr>
          <w:rFonts w:ascii="Franklin Gothic Book" w:hAnsi="Franklin Gothic Book"/>
          <w:b/>
          <w:bCs/>
          <w:sz w:val="22"/>
          <w:szCs w:val="22"/>
          <w:u w:val="single"/>
        </w:rPr>
        <w:t>Allgemeine Hinweise</w:t>
      </w:r>
    </w:p>
    <w:p w:rsidR="00C36949" w:rsidRDefault="00C36949" w:rsidP="00C36949">
      <w:pPr>
        <w:numPr>
          <w:ilvl w:val="0"/>
          <w:numId w:val="1"/>
        </w:numPr>
        <w:jc w:val="both"/>
        <w:rPr>
          <w:rFonts w:ascii="Franklin Gothic Book" w:hAnsi="Franklin Gothic Book"/>
          <w:sz w:val="20"/>
          <w:szCs w:val="20"/>
        </w:rPr>
      </w:pPr>
      <w:r>
        <w:rPr>
          <w:rFonts w:ascii="Franklin Gothic Book" w:hAnsi="Franklin Gothic Book"/>
          <w:sz w:val="20"/>
          <w:szCs w:val="20"/>
        </w:rPr>
        <w:t>Rückseite – „Dies &amp; das / De-Brief 11-12/14 – Gesondert: a) Flugi DRESDEN Februar 1945, b) Deckert-Postkarte „Ich kann AU... und Befreiung nicht mehr hören!“.  </w:t>
      </w:r>
    </w:p>
    <w:p w:rsidR="00C36949" w:rsidRDefault="00C36949" w:rsidP="00C36949">
      <w:pPr>
        <w:numPr>
          <w:ilvl w:val="0"/>
          <w:numId w:val="1"/>
        </w:numPr>
        <w:jc w:val="both"/>
        <w:rPr>
          <w:rFonts w:ascii="Franklin Gothic Book" w:hAnsi="Franklin Gothic Book"/>
          <w:b/>
          <w:bCs/>
          <w:sz w:val="20"/>
          <w:szCs w:val="20"/>
        </w:rPr>
      </w:pPr>
      <w:r>
        <w:rPr>
          <w:rFonts w:ascii="Franklin Gothic Book" w:hAnsi="Franklin Gothic Book"/>
          <w:sz w:val="20"/>
          <w:szCs w:val="20"/>
        </w:rPr>
        <w:t xml:space="preserve">DDK-Termine : Do., 29. Jan. 2015, </w:t>
      </w:r>
      <w:r>
        <w:rPr>
          <w:rFonts w:ascii="Franklin Gothic Book" w:hAnsi="Franklin Gothic Book"/>
          <w:b/>
          <w:bCs/>
          <w:sz w:val="20"/>
          <w:szCs w:val="20"/>
        </w:rPr>
        <w:t xml:space="preserve">19 Uhr </w:t>
      </w:r>
      <w:r>
        <w:rPr>
          <w:rFonts w:ascii="Franklin Gothic Book" w:hAnsi="Franklin Gothic Book"/>
          <w:sz w:val="20"/>
          <w:szCs w:val="20"/>
        </w:rPr>
        <w:t xml:space="preserve">-  RA P. Richter, SB: „Das NPD-Verbotsverfahren -  derzeitiger Sachstand / offene Fragen. – Do., </w:t>
      </w:r>
      <w:r>
        <w:rPr>
          <w:rFonts w:ascii="Franklin Gothic Book" w:hAnsi="Franklin Gothic Book"/>
          <w:b/>
          <w:bCs/>
          <w:sz w:val="20"/>
          <w:szCs w:val="20"/>
        </w:rPr>
        <w:t>20. Febr</w:t>
      </w:r>
      <w:r>
        <w:rPr>
          <w:rFonts w:ascii="Franklin Gothic Book" w:hAnsi="Franklin Gothic Book"/>
          <w:sz w:val="20"/>
          <w:szCs w:val="20"/>
        </w:rPr>
        <w:t xml:space="preserve">., 19.00 Uhr  oder auch Mi., </w:t>
      </w:r>
      <w:r>
        <w:rPr>
          <w:rFonts w:ascii="Franklin Gothic Book" w:hAnsi="Franklin Gothic Book"/>
          <w:b/>
          <w:bCs/>
          <w:sz w:val="20"/>
          <w:szCs w:val="20"/>
        </w:rPr>
        <w:t>19.Febr.:</w:t>
      </w:r>
      <w:r>
        <w:rPr>
          <w:rFonts w:ascii="Franklin Gothic Book" w:hAnsi="Franklin Gothic Book"/>
          <w:sz w:val="20"/>
          <w:szCs w:val="20"/>
        </w:rPr>
        <w:t xml:space="preserve"> Polit. Aschermittwoch– Do., 26.März, 19.30 Uhr. Sofort in Terminkalender eintragen.</w:t>
      </w:r>
    </w:p>
    <w:p w:rsidR="00C36949" w:rsidRDefault="00C36949" w:rsidP="00C36949">
      <w:pPr>
        <w:jc w:val="both"/>
        <w:rPr>
          <w:rFonts w:ascii="Franklin Gothic Book" w:hAnsi="Franklin Gothic Book"/>
          <w:sz w:val="20"/>
          <w:szCs w:val="20"/>
        </w:rPr>
      </w:pPr>
      <w:r>
        <w:rPr>
          <w:rFonts w:ascii="Franklin Gothic Book" w:hAnsi="Franklin Gothic Book"/>
          <w:b/>
          <w:bCs/>
          <w:sz w:val="20"/>
          <w:szCs w:val="20"/>
        </w:rPr>
        <w:t>Termine:</w:t>
      </w:r>
      <w:r>
        <w:rPr>
          <w:rFonts w:ascii="Franklin Gothic Book" w:hAnsi="Franklin Gothic Book"/>
          <w:b/>
          <w:bCs/>
          <w:sz w:val="20"/>
          <w:szCs w:val="20"/>
          <w:u w:val="single"/>
        </w:rPr>
        <w:t>„</w:t>
      </w:r>
      <w:r>
        <w:rPr>
          <w:rFonts w:ascii="Franklin Gothic Book" w:hAnsi="Franklin Gothic Book"/>
          <w:b/>
          <w:bCs/>
          <w:sz w:val="20"/>
          <w:szCs w:val="20"/>
        </w:rPr>
        <w:t xml:space="preserve">Tage DEUTSCHER Gemeinschaft“ 2015: a) 26. – 28. Juni, b) 9. – 11. Okt.. -- </w:t>
      </w:r>
      <w:r>
        <w:rPr>
          <w:rFonts w:ascii="Franklin Gothic Book" w:hAnsi="Franklin Gothic Book"/>
          <w:sz w:val="20"/>
          <w:szCs w:val="20"/>
        </w:rPr>
        <w:t>„</w:t>
      </w:r>
      <w:r>
        <w:rPr>
          <w:rFonts w:ascii="Franklin Gothic Book" w:hAnsi="Franklin Gothic Book"/>
          <w:b/>
          <w:bCs/>
          <w:sz w:val="20"/>
          <w:szCs w:val="20"/>
        </w:rPr>
        <w:t>Kurpällsa Schdammdisch</w:t>
      </w:r>
      <w:r>
        <w:rPr>
          <w:rFonts w:ascii="Franklin Gothic Book" w:hAnsi="Franklin Gothic Book"/>
          <w:sz w:val="20"/>
          <w:szCs w:val="20"/>
        </w:rPr>
        <w:t>“ findet jeden Monat statt, ausgenommen im August.</w:t>
      </w:r>
    </w:p>
    <w:p w:rsidR="00C36949" w:rsidRDefault="00C36949" w:rsidP="00C36949">
      <w:pPr>
        <w:jc w:val="both"/>
        <w:rPr>
          <w:rFonts w:ascii="Franklin Gothic Book" w:hAnsi="Franklin Gothic Book"/>
          <w:b/>
          <w:bCs/>
          <w:i/>
          <w:iCs/>
          <w:sz w:val="22"/>
          <w:szCs w:val="22"/>
        </w:rPr>
      </w:pPr>
    </w:p>
    <w:p w:rsidR="00C36949" w:rsidRDefault="00C36949" w:rsidP="00C36949">
      <w:pPr>
        <w:rPr>
          <w:rFonts w:ascii="Franklin Gothic Book" w:hAnsi="Franklin Gothic Book"/>
          <w:b/>
          <w:bCs/>
          <w:sz w:val="22"/>
          <w:szCs w:val="22"/>
        </w:rPr>
      </w:pPr>
      <w:r>
        <w:rPr>
          <w:rFonts w:ascii="Franklin Gothic Book" w:hAnsi="Franklin Gothic Book"/>
          <w:b/>
          <w:bCs/>
          <w:sz w:val="22"/>
          <w:szCs w:val="22"/>
        </w:rPr>
        <w:t>Wichtige Bücher – Denn .... WISSEN ist MACHT!!! - Nicht NUR selbst lesen, sondern auch gezielt (!) weitergeben!!! „Weihnachten naht!!!“</w:t>
      </w:r>
    </w:p>
    <w:p w:rsidR="00C36949" w:rsidRDefault="00C36949" w:rsidP="00C36949">
      <w:pPr>
        <w:rPr>
          <w:rFonts w:ascii="Franklin Gothic Book" w:hAnsi="Franklin Gothic Book"/>
          <w:b/>
          <w:bCs/>
          <w:sz w:val="20"/>
          <w:szCs w:val="20"/>
        </w:rPr>
      </w:pPr>
      <w:r>
        <w:rPr>
          <w:rFonts w:ascii="Franklin Gothic Book" w:hAnsi="Franklin Gothic Book"/>
          <w:sz w:val="20"/>
          <w:szCs w:val="20"/>
        </w:rPr>
        <w:t>W. Funke</w:t>
      </w:r>
      <w:r>
        <w:rPr>
          <w:rFonts w:ascii="Franklin Gothic Book" w:hAnsi="Franklin Gothic Book"/>
          <w:b/>
          <w:bCs/>
          <w:sz w:val="20"/>
          <w:szCs w:val="20"/>
        </w:rPr>
        <w:t xml:space="preserve">: Rheinwiesen 1945 – Ein Offizier der Gebirgstruppe berichtet --- </w:t>
      </w:r>
      <w:r>
        <w:rPr>
          <w:rFonts w:ascii="Franklin Gothic Book" w:hAnsi="Franklin Gothic Book"/>
          <w:sz w:val="20"/>
          <w:szCs w:val="20"/>
        </w:rPr>
        <w:t>159 S., fester Einband, 19, 95 €, Gilching/Obb. 2014</w:t>
      </w:r>
    </w:p>
    <w:p w:rsidR="00C36949" w:rsidRDefault="00C36949" w:rsidP="00C36949">
      <w:pPr>
        <w:jc w:val="both"/>
        <w:rPr>
          <w:rFonts w:ascii="Franklin Gothic Book" w:hAnsi="Franklin Gothic Book"/>
          <w:b/>
          <w:bCs/>
          <w:sz w:val="20"/>
          <w:szCs w:val="20"/>
        </w:rPr>
      </w:pPr>
      <w:r>
        <w:rPr>
          <w:rFonts w:ascii="Franklin Gothic Book" w:hAnsi="Franklin Gothic Book"/>
          <w:sz w:val="20"/>
          <w:szCs w:val="20"/>
        </w:rPr>
        <w:t>Georg Friedrich</w:t>
      </w:r>
      <w:r>
        <w:rPr>
          <w:rFonts w:ascii="Franklin Gothic Book" w:hAnsi="Franklin Gothic Book"/>
          <w:b/>
          <w:bCs/>
          <w:sz w:val="20"/>
          <w:szCs w:val="20"/>
        </w:rPr>
        <w:t xml:space="preserve">: Verrat an der Ostfront, Bd. 2, </w:t>
      </w:r>
      <w:r>
        <w:rPr>
          <w:rFonts w:ascii="Franklin Gothic Book" w:hAnsi="Franklin Gothic Book"/>
          <w:b/>
          <w:bCs/>
          <w:sz w:val="20"/>
          <w:szCs w:val="20"/>
          <w:u w:val="single"/>
        </w:rPr>
        <w:t>ist soeben erschienen.</w:t>
      </w:r>
      <w:r>
        <w:rPr>
          <w:rFonts w:ascii="Franklin Gothic Book" w:hAnsi="Franklin Gothic Book"/>
          <w:b/>
          <w:bCs/>
          <w:sz w:val="22"/>
          <w:szCs w:val="22"/>
        </w:rPr>
        <w:t xml:space="preserve"> </w:t>
      </w:r>
      <w:r>
        <w:rPr>
          <w:rFonts w:ascii="Franklin Gothic Book" w:hAnsi="Franklin Gothic Book"/>
          <w:sz w:val="22"/>
          <w:szCs w:val="22"/>
        </w:rPr>
        <w:t>448 S</w:t>
      </w:r>
      <w:r>
        <w:rPr>
          <w:rFonts w:ascii="Franklin Gothic Book" w:hAnsi="Franklin Gothic Book"/>
          <w:sz w:val="20"/>
          <w:szCs w:val="20"/>
        </w:rPr>
        <w:t>., 24, 80 €; B1 ebenfalls noch lieferbar. --- „VERRAT in der Normandie noch lieferbar!!!</w:t>
      </w:r>
    </w:p>
    <w:p w:rsidR="00C36949" w:rsidRDefault="00C36949" w:rsidP="00C36949">
      <w:pPr>
        <w:jc w:val="both"/>
        <w:rPr>
          <w:rFonts w:ascii="Franklin Gothic Book" w:hAnsi="Franklin Gothic Book"/>
          <w:b/>
          <w:bCs/>
          <w:sz w:val="20"/>
          <w:szCs w:val="20"/>
        </w:rPr>
      </w:pPr>
      <w:r>
        <w:rPr>
          <w:rFonts w:ascii="Franklin Gothic Book" w:hAnsi="Franklin Gothic Book"/>
          <w:b/>
          <w:bCs/>
          <w:sz w:val="20"/>
          <w:szCs w:val="20"/>
        </w:rPr>
        <w:t>Der Gr. Wendig</w:t>
      </w:r>
      <w:r>
        <w:rPr>
          <w:rFonts w:ascii="Franklin Gothic Book" w:hAnsi="Franklin Gothic Book"/>
          <w:sz w:val="20"/>
          <w:szCs w:val="20"/>
        </w:rPr>
        <w:t xml:space="preserve"> – </w:t>
      </w:r>
      <w:r>
        <w:rPr>
          <w:rFonts w:ascii="Franklin Gothic Book" w:hAnsi="Franklin Gothic Book"/>
          <w:b/>
          <w:bCs/>
          <w:sz w:val="20"/>
          <w:szCs w:val="20"/>
        </w:rPr>
        <w:t>Richtigstellungen zur Zeitgeschichte</w:t>
      </w:r>
      <w:r>
        <w:rPr>
          <w:rFonts w:ascii="Franklin Gothic Book" w:hAnsi="Franklin Gothic Book"/>
          <w:sz w:val="20"/>
          <w:szCs w:val="20"/>
        </w:rPr>
        <w:t>, ein Muß!!!  </w:t>
      </w:r>
      <w:r>
        <w:rPr>
          <w:rFonts w:ascii="Franklin Gothic Book" w:hAnsi="Franklin Gothic Book"/>
          <w:b/>
          <w:bCs/>
          <w:sz w:val="20"/>
          <w:szCs w:val="20"/>
        </w:rPr>
        <w:t xml:space="preserve">NEU! Bd. 5 (912 S., 39.90)  ist erschienen!!! – </w:t>
      </w:r>
      <w:r>
        <w:rPr>
          <w:rFonts w:ascii="Franklin Gothic Book" w:hAnsi="Franklin Gothic Book"/>
          <w:sz w:val="20"/>
          <w:szCs w:val="20"/>
        </w:rPr>
        <w:t xml:space="preserve">Die Bände 1 – 4 können nachbestellt werden; sie sind noch bzw. wieder lieferbar. ---- </w:t>
      </w:r>
      <w:r>
        <w:rPr>
          <w:rFonts w:ascii="Franklin Gothic Book" w:hAnsi="Franklin Gothic Book"/>
          <w:b/>
          <w:bCs/>
          <w:sz w:val="20"/>
          <w:szCs w:val="20"/>
        </w:rPr>
        <w:t>Für jeden zeitgeschichtlich Interessierten ein Muß!</w:t>
      </w:r>
    </w:p>
    <w:p w:rsidR="00C36949" w:rsidRDefault="00C36949" w:rsidP="00C36949">
      <w:pPr>
        <w:jc w:val="both"/>
        <w:rPr>
          <w:rFonts w:ascii="Franklin Gothic Book" w:hAnsi="Franklin Gothic Book"/>
          <w:sz w:val="20"/>
          <w:szCs w:val="20"/>
        </w:rPr>
      </w:pPr>
      <w:r>
        <w:rPr>
          <w:rFonts w:ascii="Franklin Gothic Book" w:hAnsi="Franklin Gothic Book"/>
          <w:sz w:val="20"/>
          <w:szCs w:val="20"/>
        </w:rPr>
        <w:t>Stefan Scheil</w:t>
      </w:r>
      <w:r>
        <w:rPr>
          <w:rFonts w:ascii="Franklin Gothic Book" w:hAnsi="Franklin Gothic Book"/>
          <w:b/>
          <w:bCs/>
          <w:sz w:val="20"/>
          <w:szCs w:val="20"/>
        </w:rPr>
        <w:t xml:space="preserve">: Polen 1939 . Kriegskalkül, Vorbereitung, Vollzug </w:t>
      </w:r>
      <w:r>
        <w:rPr>
          <w:rFonts w:ascii="Franklin Gothic Book" w:hAnsi="Franklin Gothic Book"/>
          <w:sz w:val="20"/>
          <w:szCs w:val="20"/>
        </w:rPr>
        <w:t>--- 96 S., fester Einband, 8,50 €, Schnellroda 2013</w:t>
      </w:r>
    </w:p>
    <w:p w:rsidR="00C36949" w:rsidRDefault="00C36949" w:rsidP="00C36949">
      <w:pPr>
        <w:jc w:val="both"/>
        <w:rPr>
          <w:rFonts w:ascii="Franklin Gothic Book" w:hAnsi="Franklin Gothic Book"/>
          <w:sz w:val="20"/>
          <w:szCs w:val="20"/>
        </w:rPr>
      </w:pPr>
      <w:r>
        <w:rPr>
          <w:rFonts w:ascii="Franklin Gothic Book" w:hAnsi="Franklin Gothic Book"/>
          <w:sz w:val="20"/>
          <w:szCs w:val="20"/>
        </w:rPr>
        <w:t> Fr. Meyer: „</w:t>
      </w:r>
      <w:r>
        <w:rPr>
          <w:rFonts w:ascii="Franklin Gothic Book" w:hAnsi="Franklin Gothic Book"/>
          <w:b/>
          <w:bCs/>
          <w:sz w:val="20"/>
          <w:szCs w:val="20"/>
        </w:rPr>
        <w:t>Neue Erkenntnisse zu Auschwitz.“</w:t>
      </w:r>
      <w:r>
        <w:rPr>
          <w:rFonts w:ascii="Franklin Gothic Book" w:hAnsi="Franklin Gothic Book"/>
          <w:sz w:val="20"/>
          <w:szCs w:val="20"/>
        </w:rPr>
        <w:t xml:space="preserve"> – Text des Hörbuches + Aufsatz „Neue Erkenntnisse“ (Zs. Osteuropa), Ablehnung der Strafanzeige Deckert/Mahler durch StA Stuttgart , zus. 10 €, Versand Inland eingeschlossen -  DAMIT kann man, trotz § 130, offensiv werben. Zudem: Meyer hat einen jüdischen (!) Hintergrund.</w:t>
      </w:r>
    </w:p>
    <w:p w:rsidR="00C36949" w:rsidRDefault="00C36949" w:rsidP="00C36949">
      <w:pPr>
        <w:jc w:val="both"/>
        <w:rPr>
          <w:rFonts w:ascii="Franklin Gothic Book" w:hAnsi="Franklin Gothic Book"/>
          <w:b/>
          <w:bCs/>
          <w:i/>
          <w:iCs/>
          <w:sz w:val="20"/>
          <w:szCs w:val="20"/>
        </w:rPr>
      </w:pPr>
      <w:r>
        <w:rPr>
          <w:rFonts w:ascii="Franklin Gothic Book" w:hAnsi="Franklin Gothic Book"/>
          <w:b/>
          <w:bCs/>
          <w:sz w:val="20"/>
          <w:szCs w:val="20"/>
        </w:rPr>
        <w:t>Dauerbrenner Holo.../Shoa(h) – „Die</w:t>
      </w:r>
      <w:r>
        <w:rPr>
          <w:rFonts w:ascii="Franklin Gothic Book" w:hAnsi="Franklin Gothic Book"/>
          <w:sz w:val="20"/>
          <w:szCs w:val="20"/>
        </w:rPr>
        <w:t xml:space="preserve"> </w:t>
      </w:r>
      <w:r>
        <w:rPr>
          <w:rFonts w:ascii="Franklin Gothic Book" w:hAnsi="Franklin Gothic Book"/>
          <w:b/>
          <w:bCs/>
          <w:sz w:val="20"/>
          <w:szCs w:val="20"/>
        </w:rPr>
        <w:t>Geständnisse des SS-Mannes</w:t>
      </w:r>
      <w:r>
        <w:rPr>
          <w:rFonts w:ascii="Franklin Gothic Book" w:hAnsi="Franklin Gothic Book"/>
          <w:b/>
          <w:bCs/>
          <w:i/>
          <w:iCs/>
          <w:sz w:val="20"/>
          <w:szCs w:val="20"/>
        </w:rPr>
        <w:t xml:space="preserve"> Kurt </w:t>
      </w:r>
      <w:r>
        <w:rPr>
          <w:rFonts w:ascii="Franklin Gothic Book" w:hAnsi="Franklin Gothic Book"/>
          <w:b/>
          <w:bCs/>
          <w:sz w:val="20"/>
          <w:szCs w:val="20"/>
        </w:rPr>
        <w:t>Gerstein – Zur Problematik eines Schlüsseldokuments“,</w:t>
      </w:r>
      <w:r>
        <w:rPr>
          <w:rFonts w:ascii="Franklin Gothic Book" w:hAnsi="Franklin Gothic Book"/>
          <w:i/>
          <w:iCs/>
          <w:sz w:val="20"/>
          <w:szCs w:val="20"/>
        </w:rPr>
        <w:t xml:space="preserve"> 206 S.,</w:t>
      </w:r>
      <w:r>
        <w:rPr>
          <w:rFonts w:ascii="Franklin Gothic Book" w:hAnsi="Franklin Gothic Book"/>
          <w:b/>
          <w:bCs/>
          <w:i/>
          <w:iCs/>
          <w:sz w:val="20"/>
          <w:szCs w:val="20"/>
        </w:rPr>
        <w:t xml:space="preserve"> 15 €, </w:t>
      </w:r>
      <w:r>
        <w:rPr>
          <w:rFonts w:ascii="Franklin Gothic Book" w:hAnsi="Franklin Gothic Book"/>
          <w:i/>
          <w:iCs/>
          <w:sz w:val="20"/>
          <w:szCs w:val="20"/>
        </w:rPr>
        <w:t xml:space="preserve">Weinheim 2012 – </w:t>
      </w:r>
      <w:r>
        <w:rPr>
          <w:rFonts w:ascii="Franklin Gothic Book" w:hAnsi="Franklin Gothic Book"/>
          <w:sz w:val="20"/>
          <w:szCs w:val="20"/>
        </w:rPr>
        <w:t xml:space="preserve">Die </w:t>
      </w:r>
      <w:r>
        <w:rPr>
          <w:rFonts w:ascii="Franklin Gothic Book" w:hAnsi="Franklin Gothic Book"/>
          <w:b/>
          <w:bCs/>
          <w:sz w:val="20"/>
          <w:szCs w:val="20"/>
        </w:rPr>
        <w:t xml:space="preserve">Doktorarbeit </w:t>
      </w:r>
      <w:r>
        <w:rPr>
          <w:rFonts w:ascii="Franklin Gothic Book" w:hAnsi="Franklin Gothic Book"/>
          <w:sz w:val="20"/>
          <w:szCs w:val="20"/>
        </w:rPr>
        <w:t xml:space="preserve">(UNI Nantes)  von Henri Roques, Deutsch von G. Deckert; </w:t>
      </w:r>
      <w:r>
        <w:rPr>
          <w:rFonts w:ascii="Franklin Gothic Book" w:hAnsi="Franklin Gothic Book"/>
          <w:sz w:val="20"/>
          <w:szCs w:val="20"/>
          <w:u w:val="single"/>
        </w:rPr>
        <w:t>Restexemplare.</w:t>
      </w:r>
    </w:p>
    <w:p w:rsidR="00C36949" w:rsidRDefault="00C36949" w:rsidP="00C36949">
      <w:pPr>
        <w:jc w:val="both"/>
        <w:rPr>
          <w:rFonts w:ascii="Franklin Gothic Book" w:hAnsi="Franklin Gothic Book"/>
          <w:sz w:val="20"/>
          <w:szCs w:val="20"/>
          <w:u w:val="single"/>
        </w:rPr>
      </w:pPr>
      <w:r>
        <w:rPr>
          <w:rFonts w:ascii="Franklin Gothic Book" w:hAnsi="Franklin Gothic Book"/>
          <w:sz w:val="20"/>
          <w:szCs w:val="20"/>
        </w:rPr>
        <w:t xml:space="preserve">F.R.Nicosia: </w:t>
      </w:r>
      <w:r>
        <w:rPr>
          <w:rFonts w:ascii="Franklin Gothic Book" w:hAnsi="Franklin Gothic Book"/>
          <w:b/>
          <w:bCs/>
          <w:sz w:val="20"/>
          <w:szCs w:val="20"/>
        </w:rPr>
        <w:t xml:space="preserve">Hitler und der Zionismus – Das 3. Reich u. die Palästina-Frage 1933-1939 </w:t>
      </w:r>
      <w:r>
        <w:rPr>
          <w:rFonts w:ascii="Franklin Gothic Book" w:hAnsi="Franklin Gothic Book"/>
          <w:sz w:val="20"/>
          <w:szCs w:val="20"/>
        </w:rPr>
        <w:t xml:space="preserve">– 412 S., fester Einband, 1989 – SONDERPREIS : 17 € + Versand – </w:t>
      </w:r>
      <w:r>
        <w:rPr>
          <w:rFonts w:ascii="Franklin Gothic Book" w:hAnsi="Franklin Gothic Book"/>
          <w:sz w:val="20"/>
          <w:szCs w:val="20"/>
          <w:u w:val="single"/>
        </w:rPr>
        <w:t>Dt. Übersetzung  G. Deckert.</w:t>
      </w:r>
    </w:p>
    <w:p w:rsidR="00C36949" w:rsidRDefault="00C36949" w:rsidP="00C36949">
      <w:pPr>
        <w:jc w:val="both"/>
        <w:rPr>
          <w:rFonts w:ascii="Franklin Gothic Book" w:hAnsi="Franklin Gothic Book"/>
          <w:sz w:val="20"/>
          <w:szCs w:val="20"/>
        </w:rPr>
      </w:pPr>
      <w:r>
        <w:rPr>
          <w:rFonts w:ascii="Franklin Gothic Book" w:hAnsi="Franklin Gothic Book"/>
          <w:sz w:val="20"/>
          <w:szCs w:val="20"/>
        </w:rPr>
        <w:t xml:space="preserve">G. Zemella: </w:t>
      </w:r>
      <w:r>
        <w:rPr>
          <w:rFonts w:ascii="Franklin Gothic Book" w:hAnsi="Franklin Gothic Book"/>
          <w:b/>
          <w:bCs/>
          <w:sz w:val="20"/>
          <w:szCs w:val="20"/>
        </w:rPr>
        <w:t>Chronologie zur Kriegsschuldfrage</w:t>
      </w:r>
      <w:r>
        <w:rPr>
          <w:rFonts w:ascii="Franklin Gothic Book" w:hAnsi="Franklin Gothic Book"/>
          <w:sz w:val="20"/>
          <w:szCs w:val="20"/>
        </w:rPr>
        <w:t xml:space="preserve"> – 448 S., Leinen, 24, 80 €, Tübingen 2012 XXX </w:t>
      </w:r>
      <w:r>
        <w:rPr>
          <w:rFonts w:ascii="Franklin Gothic Book" w:hAnsi="Franklin Gothic Book"/>
          <w:sz w:val="20"/>
          <w:szCs w:val="20"/>
          <w:u w:val="single"/>
        </w:rPr>
        <w:t>Das aktuelle Buch</w:t>
      </w:r>
      <w:r>
        <w:rPr>
          <w:rFonts w:ascii="Franklin Gothic Book" w:hAnsi="Franklin Gothic Book"/>
          <w:sz w:val="20"/>
          <w:szCs w:val="20"/>
        </w:rPr>
        <w:t xml:space="preserve"> zum 1.9.39 </w:t>
      </w:r>
    </w:p>
    <w:p w:rsidR="00C36949" w:rsidRDefault="00C36949" w:rsidP="00C36949">
      <w:pPr>
        <w:jc w:val="both"/>
        <w:rPr>
          <w:rFonts w:ascii="Franklin Gothic Book" w:hAnsi="Franklin Gothic Book"/>
          <w:sz w:val="20"/>
          <w:szCs w:val="20"/>
        </w:rPr>
      </w:pPr>
      <w:r>
        <w:rPr>
          <w:rFonts w:ascii="Franklin Gothic Book" w:hAnsi="Franklin Gothic Book"/>
          <w:sz w:val="20"/>
          <w:szCs w:val="20"/>
        </w:rPr>
        <w:t>ders.: NEU!!!: „</w:t>
      </w:r>
      <w:r>
        <w:rPr>
          <w:rFonts w:ascii="Franklin Gothic Book" w:hAnsi="Franklin Gothic Book"/>
          <w:b/>
          <w:bCs/>
          <w:sz w:val="20"/>
          <w:szCs w:val="20"/>
        </w:rPr>
        <w:t xml:space="preserve">Deutschland im Fadenkreuz – </w:t>
      </w:r>
      <w:r>
        <w:rPr>
          <w:rFonts w:ascii="Franklin Gothic Book" w:hAnsi="Franklin Gothic Book"/>
          <w:b/>
          <w:bCs/>
          <w:sz w:val="22"/>
          <w:szCs w:val="22"/>
        </w:rPr>
        <w:t>Der zweite Dreißigjährige Krieg 1914 – 1945</w:t>
      </w:r>
      <w:r>
        <w:rPr>
          <w:rFonts w:ascii="Franklin Gothic Book" w:hAnsi="Franklin Gothic Book"/>
          <w:b/>
          <w:bCs/>
          <w:sz w:val="20"/>
          <w:szCs w:val="20"/>
        </w:rPr>
        <w:t>.  Zwischen Lüge und Wahrheit“</w:t>
      </w:r>
      <w:r>
        <w:rPr>
          <w:rFonts w:ascii="Franklin Gothic Book" w:hAnsi="Franklin Gothic Book"/>
          <w:sz w:val="20"/>
          <w:szCs w:val="20"/>
        </w:rPr>
        <w:t xml:space="preserve"> – 560 S., zahlreiche s/w Abb., Festeinband, 24, 90 €), Lippoldsberg 2013; </w:t>
      </w:r>
    </w:p>
    <w:p w:rsidR="00C36949" w:rsidRDefault="00C36949" w:rsidP="00C36949">
      <w:pPr>
        <w:jc w:val="both"/>
        <w:rPr>
          <w:rFonts w:ascii="Franklin Gothic Book" w:hAnsi="Franklin Gothic Book"/>
          <w:sz w:val="20"/>
          <w:szCs w:val="20"/>
        </w:rPr>
      </w:pPr>
      <w:r>
        <w:rPr>
          <w:rFonts w:ascii="Franklin Gothic Book" w:hAnsi="Franklin Gothic Book"/>
          <w:sz w:val="20"/>
          <w:szCs w:val="20"/>
        </w:rPr>
        <w:t xml:space="preserve">ders. </w:t>
      </w:r>
      <w:r>
        <w:rPr>
          <w:rFonts w:ascii="Franklin Gothic Book" w:hAnsi="Franklin Gothic Book"/>
          <w:b/>
          <w:bCs/>
          <w:sz w:val="20"/>
          <w:szCs w:val="20"/>
        </w:rPr>
        <w:t xml:space="preserve">Warum mußten Deutschlands sterben? </w:t>
      </w:r>
      <w:r>
        <w:rPr>
          <w:rFonts w:ascii="Franklin Gothic Book" w:hAnsi="Franklin Gothic Book"/>
          <w:sz w:val="20"/>
          <w:szCs w:val="20"/>
        </w:rPr>
        <w:t>-  Eine chronologische Bestandsaufnahme des Luftkrieges 1940 – 1945 ---647 S., fester Einband, zahlreiche Abb. s/w, 24, 95 €, Lippoldsberg 2014</w:t>
      </w:r>
    </w:p>
    <w:p w:rsidR="00C36949" w:rsidRDefault="00C36949" w:rsidP="00C36949">
      <w:pPr>
        <w:jc w:val="both"/>
        <w:rPr>
          <w:rFonts w:ascii="Franklin Gothic Book" w:hAnsi="Franklin Gothic Book"/>
          <w:b/>
          <w:bCs/>
          <w:sz w:val="20"/>
          <w:szCs w:val="20"/>
        </w:rPr>
      </w:pPr>
      <w:r>
        <w:rPr>
          <w:rFonts w:ascii="Franklin Gothic Book" w:hAnsi="Franklin Gothic Book"/>
          <w:sz w:val="20"/>
          <w:szCs w:val="20"/>
        </w:rPr>
        <w:t xml:space="preserve">U. Schwarze: </w:t>
      </w:r>
      <w:r>
        <w:rPr>
          <w:rFonts w:ascii="Franklin Gothic Book" w:hAnsi="Franklin Gothic Book"/>
          <w:b/>
          <w:bCs/>
          <w:sz w:val="20"/>
          <w:szCs w:val="20"/>
        </w:rPr>
        <w:t>Die Deutschen und ihr Staat</w:t>
      </w:r>
      <w:r>
        <w:rPr>
          <w:rFonts w:ascii="Franklin Gothic Book" w:hAnsi="Franklin Gothic Book"/>
          <w:sz w:val="20"/>
          <w:szCs w:val="20"/>
        </w:rPr>
        <w:t xml:space="preserve"> – 4 Bde., a</w:t>
      </w:r>
      <w:r>
        <w:rPr>
          <w:rFonts w:ascii="Franklin Gothic Book" w:hAnsi="Franklin Gothic Book"/>
          <w:b/>
          <w:bCs/>
          <w:sz w:val="20"/>
          <w:szCs w:val="20"/>
        </w:rPr>
        <w:t>) Die Kunst des Möglichen (800 – 1871),</w:t>
      </w:r>
      <w:r>
        <w:rPr>
          <w:rFonts w:ascii="Franklin Gothic Book" w:hAnsi="Franklin Gothic Book"/>
          <w:sz w:val="20"/>
          <w:szCs w:val="20"/>
        </w:rPr>
        <w:t xml:space="preserve"> b) </w:t>
      </w:r>
      <w:r>
        <w:rPr>
          <w:rFonts w:ascii="Franklin Gothic Book" w:hAnsi="Franklin Gothic Book"/>
          <w:b/>
          <w:bCs/>
          <w:sz w:val="20"/>
          <w:szCs w:val="20"/>
        </w:rPr>
        <w:t>Die Einkreisung --- 1871 –</w:t>
      </w:r>
    </w:p>
    <w:p w:rsidR="00C36949" w:rsidRDefault="00C36949" w:rsidP="00C36949">
      <w:pPr>
        <w:jc w:val="both"/>
        <w:rPr>
          <w:rFonts w:ascii="Franklin Gothic Book" w:hAnsi="Franklin Gothic Book"/>
          <w:sz w:val="20"/>
          <w:szCs w:val="20"/>
        </w:rPr>
      </w:pPr>
      <w:r>
        <w:rPr>
          <w:rFonts w:ascii="Franklin Gothic Book" w:hAnsi="Franklin Gothic Book"/>
          <w:b/>
          <w:bCs/>
          <w:sz w:val="20"/>
          <w:szCs w:val="20"/>
        </w:rPr>
        <w:t>1914).  c) Revisionskrieg und Gegenrevision 1914 - 1939</w:t>
      </w:r>
      <w:r>
        <w:rPr>
          <w:rFonts w:ascii="Franklin Gothic Book" w:hAnsi="Franklin Gothic Book"/>
          <w:sz w:val="20"/>
          <w:szCs w:val="20"/>
        </w:rPr>
        <w:t xml:space="preserve">–, </w:t>
      </w:r>
      <w:r>
        <w:rPr>
          <w:rFonts w:ascii="Franklin Gothic Book" w:hAnsi="Franklin Gothic Book"/>
          <w:b/>
          <w:bCs/>
          <w:sz w:val="20"/>
          <w:szCs w:val="20"/>
        </w:rPr>
        <w:t>d)</w:t>
      </w:r>
      <w:r>
        <w:rPr>
          <w:rFonts w:ascii="Franklin Gothic Book" w:hAnsi="Franklin Gothic Book"/>
          <w:sz w:val="20"/>
          <w:szCs w:val="20"/>
        </w:rPr>
        <w:t xml:space="preserve"> </w:t>
      </w:r>
      <w:r>
        <w:rPr>
          <w:rFonts w:ascii="Franklin Gothic Book" w:hAnsi="Franklin Gothic Book"/>
          <w:b/>
          <w:bCs/>
          <w:sz w:val="20"/>
          <w:szCs w:val="20"/>
        </w:rPr>
        <w:t>Kein Ende des</w:t>
      </w:r>
      <w:r>
        <w:rPr>
          <w:rFonts w:ascii="Franklin Gothic Book" w:hAnsi="Franklin Gothic Book"/>
          <w:sz w:val="20"/>
          <w:szCs w:val="20"/>
        </w:rPr>
        <w:t xml:space="preserve"> </w:t>
      </w:r>
      <w:r>
        <w:rPr>
          <w:rFonts w:ascii="Franklin Gothic Book" w:hAnsi="Franklin Gothic Book"/>
          <w:b/>
          <w:bCs/>
          <w:sz w:val="20"/>
          <w:szCs w:val="20"/>
        </w:rPr>
        <w:t>Sonderweges 1939 – 1990</w:t>
      </w:r>
      <w:r>
        <w:rPr>
          <w:rFonts w:ascii="Franklin Gothic Book" w:hAnsi="Franklin Gothic Book"/>
          <w:sz w:val="20"/>
          <w:szCs w:val="20"/>
        </w:rPr>
        <w:t xml:space="preserve"> --- Je Bd. 26, 80 €.     </w:t>
      </w:r>
    </w:p>
    <w:p w:rsidR="00C36949" w:rsidRDefault="00C36949" w:rsidP="00C36949">
      <w:pPr>
        <w:jc w:val="both"/>
        <w:rPr>
          <w:rFonts w:ascii="Franklin Gothic Book" w:hAnsi="Franklin Gothic Book"/>
          <w:b/>
          <w:bCs/>
          <w:sz w:val="20"/>
          <w:szCs w:val="20"/>
        </w:rPr>
      </w:pPr>
      <w:r>
        <w:rPr>
          <w:rFonts w:ascii="Franklin Gothic Book" w:hAnsi="Franklin Gothic Book"/>
          <w:b/>
          <w:bCs/>
          <w:sz w:val="20"/>
          <w:szCs w:val="20"/>
        </w:rPr>
        <w:lastRenderedPageBreak/>
        <w:t>Bei Abnahme aller vier Bände je Bd. 22, 80 €.</w:t>
      </w:r>
    </w:p>
    <w:p w:rsidR="00C36949" w:rsidRDefault="00C36949" w:rsidP="00C36949">
      <w:pPr>
        <w:jc w:val="both"/>
        <w:rPr>
          <w:rFonts w:ascii="Franklin Gothic Book" w:hAnsi="Franklin Gothic Book"/>
          <w:sz w:val="20"/>
          <w:szCs w:val="20"/>
        </w:rPr>
      </w:pPr>
      <w:r>
        <w:rPr>
          <w:rFonts w:ascii="Franklin Gothic Book" w:hAnsi="Franklin Gothic Book"/>
          <w:sz w:val="20"/>
          <w:szCs w:val="20"/>
        </w:rPr>
        <w:t xml:space="preserve">M. Neubauer: </w:t>
      </w:r>
      <w:r>
        <w:rPr>
          <w:rFonts w:ascii="Franklin Gothic Book" w:hAnsi="Franklin Gothic Book"/>
          <w:b/>
          <w:bCs/>
          <w:sz w:val="20"/>
          <w:szCs w:val="20"/>
        </w:rPr>
        <w:t>Der Zweite Dreißigjährige Krieg 1914 – 1945</w:t>
      </w:r>
      <w:r>
        <w:rPr>
          <w:rFonts w:ascii="Franklin Gothic Book" w:hAnsi="Franklin Gothic Book"/>
          <w:sz w:val="20"/>
          <w:szCs w:val="20"/>
        </w:rPr>
        <w:t>  - 260 S., TB-Format, 16, 90 €, Norderstedt 2013³; überwiegend aus anderen Werken zusammen gestellt. Indes einfach und verständlich zu lesen.</w:t>
      </w:r>
    </w:p>
    <w:p w:rsidR="00C36949" w:rsidRDefault="00C36949" w:rsidP="00C36949">
      <w:pPr>
        <w:jc w:val="both"/>
        <w:rPr>
          <w:rFonts w:ascii="Franklin Gothic Book" w:hAnsi="Franklin Gothic Book"/>
          <w:b/>
          <w:bCs/>
          <w:sz w:val="20"/>
          <w:szCs w:val="20"/>
        </w:rPr>
      </w:pPr>
      <w:r>
        <w:rPr>
          <w:rFonts w:ascii="Franklin Gothic Book" w:hAnsi="Franklin Gothic Book"/>
          <w:b/>
          <w:bCs/>
          <w:sz w:val="20"/>
          <w:szCs w:val="20"/>
        </w:rPr>
        <w:t>NEU:</w:t>
      </w:r>
      <w:r>
        <w:rPr>
          <w:rFonts w:ascii="Franklin Gothic Book" w:hAnsi="Franklin Gothic Book"/>
          <w:sz w:val="20"/>
          <w:szCs w:val="20"/>
        </w:rPr>
        <w:t xml:space="preserve"> 1) W. Post 1914 – </w:t>
      </w:r>
      <w:r>
        <w:rPr>
          <w:rFonts w:ascii="Franklin Gothic Book" w:hAnsi="Franklin Gothic Book"/>
          <w:b/>
          <w:bCs/>
          <w:sz w:val="20"/>
          <w:szCs w:val="20"/>
        </w:rPr>
        <w:t>Der unnötige Krieg</w:t>
      </w:r>
      <w:r>
        <w:rPr>
          <w:rFonts w:ascii="Franklin Gothic Book" w:hAnsi="Franklin Gothic Book"/>
          <w:sz w:val="20"/>
          <w:szCs w:val="20"/>
        </w:rPr>
        <w:t xml:space="preserve"> --- 376 S, zahlreiche Abb., fester Einband, 19,95 €, Gilching/Obb. 2014 --- 2) Ph. Simonot: </w:t>
      </w:r>
      <w:r>
        <w:rPr>
          <w:rFonts w:ascii="Franklin Gothic Book" w:hAnsi="Franklin Gothic Book"/>
          <w:b/>
          <w:bCs/>
          <w:sz w:val="20"/>
          <w:szCs w:val="20"/>
        </w:rPr>
        <w:t>Deutschland ist nicht schuld</w:t>
      </w:r>
      <w:r>
        <w:rPr>
          <w:rFonts w:ascii="Franklin Gothic Book" w:hAnsi="Franklin Gothic Book"/>
          <w:sz w:val="20"/>
          <w:szCs w:val="20"/>
        </w:rPr>
        <w:t xml:space="preserve"> --- 132 S., dt.-frz., 13, 90 €, Berlin 2014 --- </w:t>
      </w:r>
      <w:r>
        <w:rPr>
          <w:rFonts w:ascii="Franklin Gothic Book" w:hAnsi="Franklin Gothic Book"/>
          <w:b/>
          <w:bCs/>
          <w:sz w:val="20"/>
          <w:szCs w:val="20"/>
        </w:rPr>
        <w:t>Wenn man Ausländer zitieren kann, wiegt das Argument doppelt schwer!</w:t>
      </w:r>
    </w:p>
    <w:p w:rsidR="00C36949" w:rsidRPr="00C36949" w:rsidRDefault="00C36949" w:rsidP="00055B43">
      <w:pPr>
        <w:jc w:val="center"/>
        <w:rPr>
          <w:rFonts w:ascii="Arial Black" w:hAnsi="Arial Black" w:cs="Arial"/>
          <w:b/>
          <w:sz w:val="28"/>
          <w:szCs w:val="28"/>
        </w:rPr>
      </w:pPr>
      <w:bookmarkStart w:id="0" w:name="_GoBack"/>
      <w:bookmarkEnd w:id="0"/>
    </w:p>
    <w:p w:rsidR="00C36949" w:rsidRDefault="00C36949" w:rsidP="00055B43">
      <w:pPr>
        <w:jc w:val="center"/>
        <w:rPr>
          <w:rFonts w:ascii="Arial Black" w:hAnsi="Arial Black" w:cs="Arial"/>
          <w:b/>
          <w:sz w:val="56"/>
          <w:szCs w:val="56"/>
        </w:rPr>
      </w:pPr>
    </w:p>
    <w:p w:rsidR="00055B43" w:rsidRPr="000275B0" w:rsidRDefault="00055B43" w:rsidP="00055B43">
      <w:pPr>
        <w:jc w:val="center"/>
        <w:rPr>
          <w:rFonts w:ascii="Arial Black" w:hAnsi="Arial Black" w:cs="Arial"/>
          <w:b/>
          <w:sz w:val="56"/>
          <w:szCs w:val="56"/>
        </w:rPr>
      </w:pPr>
      <w:r w:rsidRPr="000275B0">
        <w:rPr>
          <w:rFonts w:ascii="Arial Black" w:hAnsi="Arial Black" w:cs="Arial"/>
          <w:b/>
          <w:sz w:val="56"/>
          <w:szCs w:val="56"/>
        </w:rPr>
        <w:t>DECKERT – BRIEF / - STIMME</w:t>
      </w:r>
    </w:p>
    <w:p w:rsidR="00055B43" w:rsidRDefault="00055B43" w:rsidP="00055B43">
      <w:pPr>
        <w:pBdr>
          <w:bottom w:val="thinThickThinMediumGap" w:sz="18" w:space="1" w:color="auto"/>
        </w:pBdr>
        <w:jc w:val="center"/>
        <w:rPr>
          <w:rFonts w:ascii="Arial" w:hAnsi="Arial" w:cs="Arial"/>
          <w:i/>
          <w:sz w:val="18"/>
          <w:szCs w:val="18"/>
        </w:rPr>
      </w:pPr>
      <w:r>
        <w:rPr>
          <w:rFonts w:ascii="Arial" w:hAnsi="Arial" w:cs="Arial"/>
        </w:rPr>
        <w:t>11 - 12 / November – Dezember 2014</w:t>
      </w:r>
    </w:p>
    <w:p w:rsidR="00055B43" w:rsidRDefault="00055B43" w:rsidP="00055B43">
      <w:pPr>
        <w:jc w:val="center"/>
        <w:rPr>
          <w:rFonts w:ascii="Arial" w:hAnsi="Arial" w:cs="Arial"/>
          <w:sz w:val="18"/>
          <w:szCs w:val="18"/>
        </w:rPr>
      </w:pPr>
    </w:p>
    <w:p w:rsidR="00055B43" w:rsidRPr="00700CA4" w:rsidRDefault="00055B43" w:rsidP="00055B43">
      <w:pPr>
        <w:jc w:val="center"/>
        <w:rPr>
          <w:rFonts w:ascii="Arial" w:hAnsi="Arial" w:cs="Arial"/>
          <w:b/>
          <w:sz w:val="18"/>
          <w:szCs w:val="18"/>
        </w:rPr>
      </w:pPr>
      <w:r w:rsidRPr="00700CA4">
        <w:rPr>
          <w:rFonts w:ascii="Arial" w:hAnsi="Arial" w:cs="Arial"/>
          <w:sz w:val="18"/>
          <w:szCs w:val="18"/>
        </w:rPr>
        <w:t>Der De-Brief</w:t>
      </w:r>
      <w:r>
        <w:rPr>
          <w:rFonts w:ascii="Arial" w:hAnsi="Arial" w:cs="Arial"/>
          <w:sz w:val="18"/>
          <w:szCs w:val="18"/>
        </w:rPr>
        <w:t>/-Stimme</w:t>
      </w:r>
      <w:r w:rsidRPr="00700CA4">
        <w:rPr>
          <w:rFonts w:ascii="Arial" w:hAnsi="Arial" w:cs="Arial"/>
          <w:sz w:val="18"/>
          <w:szCs w:val="18"/>
        </w:rPr>
        <w:t xml:space="preserve"> ist ein persönlicher Rundbrief für Förderer und Freunde meiner politischen Arbeit. Er ist kein Geschäftsunterneh</w:t>
      </w:r>
      <w:r w:rsidRPr="006166A5">
        <w:rPr>
          <w:rFonts w:ascii="Arial" w:hAnsi="Arial" w:cs="Arial"/>
          <w:sz w:val="18"/>
          <w:szCs w:val="18"/>
        </w:rPr>
        <w:t>men. --  Kostenbeitrag für 6 Ausgaben im Jahr 15 € Inland, 20 € Ausland</w:t>
      </w:r>
      <w:r w:rsidRPr="00700CA4">
        <w:rPr>
          <w:rFonts w:ascii="Arial" w:hAnsi="Arial" w:cs="Arial"/>
          <w:b/>
          <w:sz w:val="18"/>
          <w:szCs w:val="18"/>
        </w:rPr>
        <w:t>.</w:t>
      </w:r>
    </w:p>
    <w:p w:rsidR="00055B43" w:rsidRPr="00700CA4" w:rsidRDefault="00055B43" w:rsidP="00055B43">
      <w:pPr>
        <w:jc w:val="center"/>
        <w:rPr>
          <w:rFonts w:ascii="Arial" w:hAnsi="Arial" w:cs="Arial"/>
          <w:sz w:val="18"/>
          <w:szCs w:val="18"/>
        </w:rPr>
      </w:pPr>
      <w:r w:rsidRPr="00700CA4">
        <w:rPr>
          <w:rFonts w:ascii="Arial" w:hAnsi="Arial" w:cs="Arial"/>
          <w:b/>
          <w:sz w:val="18"/>
          <w:szCs w:val="18"/>
        </w:rPr>
        <w:t>IBAN:</w:t>
      </w:r>
      <w:r w:rsidRPr="00700CA4">
        <w:rPr>
          <w:rFonts w:ascii="Arial" w:hAnsi="Arial" w:cs="Arial"/>
          <w:sz w:val="18"/>
          <w:szCs w:val="18"/>
        </w:rPr>
        <w:t xml:space="preserve"> DE77 6601 0075 0134 3457 54 XXX </w:t>
      </w:r>
      <w:r w:rsidRPr="00700CA4">
        <w:rPr>
          <w:rFonts w:ascii="Arial" w:hAnsi="Arial" w:cs="Arial"/>
          <w:b/>
          <w:sz w:val="18"/>
          <w:szCs w:val="18"/>
        </w:rPr>
        <w:t>BIC:</w:t>
      </w:r>
      <w:r w:rsidRPr="00700CA4">
        <w:rPr>
          <w:rFonts w:ascii="Arial" w:hAnsi="Arial" w:cs="Arial"/>
          <w:sz w:val="18"/>
          <w:szCs w:val="18"/>
        </w:rPr>
        <w:t xml:space="preserve"> PBNKFDEFF</w:t>
      </w:r>
    </w:p>
    <w:p w:rsidR="00055B43" w:rsidRDefault="00055B43" w:rsidP="00055B43">
      <w:pPr>
        <w:jc w:val="center"/>
        <w:rPr>
          <w:rFonts w:ascii="Arial" w:hAnsi="Arial" w:cs="Arial"/>
          <w:sz w:val="18"/>
          <w:szCs w:val="18"/>
        </w:rPr>
      </w:pPr>
      <w:r w:rsidRPr="00700CA4">
        <w:rPr>
          <w:rFonts w:ascii="Arial" w:hAnsi="Arial" w:cs="Arial"/>
          <w:sz w:val="18"/>
          <w:szCs w:val="18"/>
        </w:rPr>
        <w:t xml:space="preserve">ViSdP: G. Deckert – Pf. 100 245 (D) 69442 Weinheim/B. – </w:t>
      </w:r>
      <w:hyperlink r:id="rId7" w:history="1">
        <w:r w:rsidRPr="00700CA4">
          <w:rPr>
            <w:rStyle w:val="Hyperlink"/>
            <w:rFonts w:ascii="Arial" w:hAnsi="Arial" w:cs="Arial"/>
            <w:sz w:val="18"/>
            <w:szCs w:val="18"/>
          </w:rPr>
          <w:t>Guenter.Deckert@gmx.de</w:t>
        </w:r>
      </w:hyperlink>
      <w:r w:rsidRPr="00700CA4">
        <w:rPr>
          <w:rFonts w:ascii="Arial" w:hAnsi="Arial" w:cs="Arial"/>
          <w:sz w:val="18"/>
          <w:szCs w:val="18"/>
        </w:rPr>
        <w:t xml:space="preserve"> – </w:t>
      </w:r>
      <w:hyperlink r:id="rId8" w:history="1">
        <w:r w:rsidRPr="009F26B6">
          <w:rPr>
            <w:rStyle w:val="Hyperlink"/>
            <w:rFonts w:ascii="Arial" w:hAnsi="Arial" w:cs="Arial"/>
            <w:sz w:val="18"/>
            <w:szCs w:val="18"/>
          </w:rPr>
          <w:t>www.guenterdeckert.de</w:t>
        </w:r>
      </w:hyperlink>
      <w:r>
        <w:rPr>
          <w:rFonts w:ascii="Arial" w:hAnsi="Arial" w:cs="Arial"/>
          <w:sz w:val="18"/>
          <w:szCs w:val="18"/>
        </w:rPr>
        <w:t xml:space="preserve"> </w:t>
      </w:r>
    </w:p>
    <w:p w:rsidR="00055B43" w:rsidRPr="00700CA4" w:rsidRDefault="00055B43" w:rsidP="00055B43">
      <w:pPr>
        <w:jc w:val="center"/>
        <w:rPr>
          <w:rFonts w:ascii="Arial" w:hAnsi="Arial" w:cs="Arial"/>
          <w:sz w:val="18"/>
          <w:szCs w:val="18"/>
        </w:rPr>
      </w:pPr>
      <w:r>
        <w:rPr>
          <w:rFonts w:ascii="Arial" w:hAnsi="Arial" w:cs="Arial"/>
          <w:sz w:val="18"/>
          <w:szCs w:val="18"/>
        </w:rPr>
        <w:t>*********************************************************************************************************************************************************</w:t>
      </w:r>
    </w:p>
    <w:p w:rsidR="00055B43" w:rsidRDefault="00055B43" w:rsidP="00055B43">
      <w:pPr>
        <w:jc w:val="center"/>
        <w:rPr>
          <w:rFonts w:ascii="Arial" w:hAnsi="Arial" w:cs="Arial"/>
          <w:i/>
          <w:sz w:val="20"/>
          <w:szCs w:val="20"/>
        </w:rPr>
      </w:pPr>
    </w:p>
    <w:p w:rsidR="00055B43" w:rsidRPr="008752E6" w:rsidRDefault="00055B43" w:rsidP="00055B43">
      <w:pPr>
        <w:jc w:val="center"/>
        <w:rPr>
          <w:rFonts w:ascii="Arial" w:hAnsi="Arial" w:cs="Arial"/>
          <w:i/>
          <w:sz w:val="20"/>
          <w:szCs w:val="20"/>
        </w:rPr>
      </w:pPr>
      <w:r>
        <w:rPr>
          <w:rFonts w:ascii="Arial" w:hAnsi="Arial" w:cs="Arial"/>
          <w:i/>
          <w:sz w:val="20"/>
          <w:szCs w:val="20"/>
        </w:rPr>
        <w:t>„</w:t>
      </w:r>
      <w:r w:rsidRPr="008752E6">
        <w:rPr>
          <w:rFonts w:ascii="Arial" w:hAnsi="Arial" w:cs="Arial"/>
          <w:i/>
          <w:sz w:val="20"/>
          <w:szCs w:val="20"/>
        </w:rPr>
        <w:t>Wer sich zum Wurm macht, darf sich nicht wundern, wenn er getreten wird.</w:t>
      </w:r>
      <w:r>
        <w:rPr>
          <w:rFonts w:ascii="Arial" w:hAnsi="Arial" w:cs="Arial"/>
          <w:i/>
          <w:sz w:val="20"/>
          <w:szCs w:val="20"/>
        </w:rPr>
        <w:t>“</w:t>
      </w:r>
    </w:p>
    <w:p w:rsidR="00055B43" w:rsidRPr="006166A5" w:rsidRDefault="00055B43" w:rsidP="00055B43">
      <w:pPr>
        <w:jc w:val="center"/>
        <w:rPr>
          <w:rFonts w:ascii="Arial" w:hAnsi="Arial" w:cs="Arial"/>
          <w:sz w:val="18"/>
          <w:szCs w:val="18"/>
        </w:rPr>
      </w:pPr>
      <w:r w:rsidRPr="006166A5">
        <w:rPr>
          <w:rFonts w:ascii="Arial" w:hAnsi="Arial" w:cs="Arial"/>
          <w:sz w:val="18"/>
          <w:szCs w:val="18"/>
        </w:rPr>
        <w:t>Immanuel Kant, dem großen Königsberger Philosophen zugeschrieben</w:t>
      </w:r>
    </w:p>
    <w:p w:rsidR="00055B43" w:rsidRDefault="00055B43" w:rsidP="00055B43">
      <w:pPr>
        <w:jc w:val="center"/>
        <w:rPr>
          <w:rFonts w:ascii="Arial" w:hAnsi="Arial" w:cs="Arial"/>
          <w:sz w:val="20"/>
          <w:szCs w:val="20"/>
        </w:rPr>
      </w:pPr>
    </w:p>
    <w:p w:rsidR="00055B43" w:rsidRDefault="00055B43" w:rsidP="00055B43">
      <w:pPr>
        <w:jc w:val="center"/>
        <w:rPr>
          <w:rFonts w:ascii="Arial" w:hAnsi="Arial" w:cs="Arial"/>
          <w:i/>
          <w:sz w:val="20"/>
          <w:szCs w:val="20"/>
        </w:rPr>
      </w:pPr>
      <w:r>
        <w:rPr>
          <w:rFonts w:ascii="Arial" w:hAnsi="Arial" w:cs="Arial"/>
          <w:sz w:val="20"/>
          <w:szCs w:val="20"/>
        </w:rPr>
        <w:t>„</w:t>
      </w:r>
      <w:r w:rsidRPr="008752E6">
        <w:rPr>
          <w:rFonts w:ascii="Arial" w:hAnsi="Arial" w:cs="Arial"/>
          <w:i/>
          <w:sz w:val="20"/>
          <w:szCs w:val="20"/>
        </w:rPr>
        <w:t>Die Wahrheit hat weder Waffen nötig, um sich zu verteidigen noch Gew</w:t>
      </w:r>
      <w:r>
        <w:rPr>
          <w:rFonts w:ascii="Arial" w:hAnsi="Arial" w:cs="Arial"/>
          <w:i/>
          <w:sz w:val="20"/>
          <w:szCs w:val="20"/>
        </w:rPr>
        <w:t>a</w:t>
      </w:r>
      <w:r w:rsidRPr="008752E6">
        <w:rPr>
          <w:rFonts w:ascii="Arial" w:hAnsi="Arial" w:cs="Arial"/>
          <w:i/>
          <w:sz w:val="20"/>
          <w:szCs w:val="20"/>
        </w:rPr>
        <w:t>lttätigkeit</w:t>
      </w:r>
      <w:r>
        <w:rPr>
          <w:rFonts w:ascii="Arial" w:hAnsi="Arial" w:cs="Arial"/>
          <w:i/>
          <w:sz w:val="20"/>
          <w:szCs w:val="20"/>
        </w:rPr>
        <w:t>, um die Menschen zu zwingen, an sie zu glauben....</w:t>
      </w:r>
    </w:p>
    <w:p w:rsidR="00055B43" w:rsidRPr="006166A5" w:rsidRDefault="00055B43" w:rsidP="00055B43">
      <w:pPr>
        <w:jc w:val="center"/>
        <w:rPr>
          <w:rFonts w:ascii="Arial" w:hAnsi="Arial" w:cs="Arial"/>
          <w:i/>
          <w:sz w:val="18"/>
          <w:szCs w:val="18"/>
        </w:rPr>
      </w:pPr>
      <w:r w:rsidRPr="006166A5">
        <w:rPr>
          <w:rFonts w:ascii="Arial" w:hAnsi="Arial" w:cs="Arial"/>
          <w:sz w:val="18"/>
          <w:szCs w:val="18"/>
        </w:rPr>
        <w:t>Friedrich dem Großen zugeschrieben</w:t>
      </w:r>
      <w:r w:rsidRPr="006166A5">
        <w:rPr>
          <w:rFonts w:ascii="Arial" w:hAnsi="Arial" w:cs="Arial"/>
          <w:i/>
          <w:sz w:val="18"/>
          <w:szCs w:val="18"/>
        </w:rPr>
        <w:t xml:space="preserve"> </w:t>
      </w:r>
    </w:p>
    <w:p w:rsidR="00055B43" w:rsidRPr="006166A5" w:rsidRDefault="00055B43" w:rsidP="00055B43">
      <w:pPr>
        <w:autoSpaceDE w:val="0"/>
        <w:autoSpaceDN w:val="0"/>
        <w:adjustRightInd w:val="0"/>
        <w:rPr>
          <w:rFonts w:ascii="LucidaCalligraphy" w:hAnsi="LucidaCalligraphy" w:cs="LucidaCalligraphy"/>
          <w:i/>
          <w:sz w:val="20"/>
          <w:szCs w:val="20"/>
        </w:rPr>
      </w:pPr>
      <w:r w:rsidRPr="006166A5">
        <w:rPr>
          <w:rFonts w:ascii="LucidaCalligraphy" w:hAnsi="LucidaCalligraphy" w:cs="LucidaCalligraphy"/>
          <w:i/>
          <w:sz w:val="20"/>
          <w:szCs w:val="20"/>
        </w:rPr>
        <w:t>Fichte an jeden Deutschen</w:t>
      </w:r>
    </w:p>
    <w:p w:rsidR="00055B43" w:rsidRPr="006166A5" w:rsidRDefault="00055B43" w:rsidP="00055B43">
      <w:pPr>
        <w:autoSpaceDE w:val="0"/>
        <w:autoSpaceDN w:val="0"/>
        <w:adjustRightInd w:val="0"/>
        <w:rPr>
          <w:rFonts w:ascii="LucidaCalligraphy" w:hAnsi="LucidaCalligraphy" w:cs="LucidaCalligraphy"/>
          <w:i/>
          <w:sz w:val="20"/>
          <w:szCs w:val="20"/>
        </w:rPr>
      </w:pPr>
    </w:p>
    <w:p w:rsidR="00055B43" w:rsidRPr="006166A5" w:rsidRDefault="00055B43" w:rsidP="00055B43">
      <w:pPr>
        <w:autoSpaceDE w:val="0"/>
        <w:autoSpaceDN w:val="0"/>
        <w:adjustRightInd w:val="0"/>
        <w:jc w:val="center"/>
        <w:rPr>
          <w:rFonts w:ascii="LucidaCalligraphy" w:hAnsi="LucidaCalligraphy" w:cs="LucidaCalligraphy"/>
          <w:i/>
          <w:sz w:val="20"/>
          <w:szCs w:val="20"/>
        </w:rPr>
      </w:pPr>
      <w:r>
        <w:rPr>
          <w:rFonts w:ascii="LucidaCalligraphy" w:hAnsi="LucidaCalligraphy" w:cs="LucidaCalligraphy"/>
          <w:i/>
          <w:sz w:val="20"/>
          <w:szCs w:val="20"/>
        </w:rPr>
        <w:t>„</w:t>
      </w:r>
      <w:r w:rsidRPr="006166A5">
        <w:rPr>
          <w:rFonts w:ascii="LucidaCalligraphy" w:hAnsi="LucidaCalligraphy" w:cs="LucidaCalligraphy"/>
          <w:i/>
          <w:sz w:val="20"/>
          <w:szCs w:val="20"/>
        </w:rPr>
        <w:t>Du sollst an Deutschlands Zukunft glauben, an deines Volkes Aufersteh´n. Laß diesen Glauben dir nicht rauben, trotz allem, allem, was gescheh´n.</w:t>
      </w:r>
    </w:p>
    <w:p w:rsidR="00055B43" w:rsidRPr="006166A5" w:rsidRDefault="00055B43" w:rsidP="00055B43">
      <w:pPr>
        <w:autoSpaceDE w:val="0"/>
        <w:autoSpaceDN w:val="0"/>
        <w:adjustRightInd w:val="0"/>
        <w:jc w:val="center"/>
        <w:rPr>
          <w:rFonts w:ascii="LucidaCalligraphy" w:hAnsi="LucidaCalligraphy" w:cs="LucidaCalligraphy"/>
          <w:i/>
          <w:sz w:val="20"/>
          <w:szCs w:val="20"/>
        </w:rPr>
      </w:pPr>
      <w:r w:rsidRPr="006166A5">
        <w:rPr>
          <w:rFonts w:ascii="LucidaCalligraphy" w:hAnsi="LucidaCalligraphy" w:cs="LucidaCalligraphy"/>
          <w:i/>
          <w:sz w:val="20"/>
          <w:szCs w:val="20"/>
        </w:rPr>
        <w:t>Und handeln sollst du so, als hinge von di</w:t>
      </w:r>
      <w:r>
        <w:rPr>
          <w:rFonts w:ascii="LucidaCalligraphy" w:hAnsi="LucidaCalligraphy" w:cs="LucidaCalligraphy"/>
          <w:i/>
          <w:sz w:val="20"/>
          <w:szCs w:val="20"/>
        </w:rPr>
        <w:t>r</w:t>
      </w:r>
      <w:r w:rsidRPr="006166A5">
        <w:rPr>
          <w:rFonts w:ascii="LucidaCalligraphy" w:hAnsi="LucidaCalligraphy" w:cs="LucidaCalligraphy"/>
          <w:i/>
          <w:sz w:val="20"/>
          <w:szCs w:val="20"/>
        </w:rPr>
        <w:t xml:space="preserve"> und deinem Tun allein das Schicksal ab der deutschen Dinge und die Verantwortung wär´ dein.</w:t>
      </w:r>
      <w:r>
        <w:rPr>
          <w:rFonts w:ascii="LucidaCalligraphy" w:hAnsi="LucidaCalligraphy" w:cs="LucidaCalligraphy"/>
          <w:i/>
          <w:sz w:val="20"/>
          <w:szCs w:val="20"/>
        </w:rPr>
        <w:t>“</w:t>
      </w:r>
    </w:p>
    <w:p w:rsidR="00055B43" w:rsidRPr="006166A5" w:rsidRDefault="00055B43" w:rsidP="00055B43">
      <w:pPr>
        <w:autoSpaceDE w:val="0"/>
        <w:autoSpaceDN w:val="0"/>
        <w:adjustRightInd w:val="0"/>
        <w:jc w:val="center"/>
        <w:rPr>
          <w:rFonts w:ascii="LucidaCalligraphy" w:hAnsi="LucidaCalligraphy" w:cs="LucidaCalligraphy"/>
          <w:sz w:val="18"/>
          <w:szCs w:val="18"/>
        </w:rPr>
      </w:pPr>
      <w:r w:rsidRPr="006166A5">
        <w:rPr>
          <w:rFonts w:ascii="LucidaCalligraphy" w:hAnsi="LucidaCalligraphy" w:cs="LucidaCalligraphy"/>
          <w:sz w:val="18"/>
          <w:szCs w:val="18"/>
        </w:rPr>
        <w:t xml:space="preserve">Verfaßt von Albert Matthai (1853 – 1924), oft aber </w:t>
      </w:r>
      <w:r w:rsidRPr="006166A5">
        <w:rPr>
          <w:rFonts w:ascii="LucidaCalligraphy" w:hAnsi="LucidaCalligraphy" w:cs="LucidaCalligraphy"/>
          <w:sz w:val="18"/>
          <w:szCs w:val="18"/>
          <w:u w:val="single"/>
        </w:rPr>
        <w:t>fälschlicherweise</w:t>
      </w:r>
      <w:r w:rsidRPr="006166A5">
        <w:rPr>
          <w:rFonts w:ascii="LucidaCalligraphy" w:hAnsi="LucidaCalligraphy" w:cs="LucidaCalligraphy"/>
          <w:sz w:val="18"/>
          <w:szCs w:val="18"/>
        </w:rPr>
        <w:t xml:space="preserve"> dem Philosophen Johan Gottlieb Fichte (auf Grund der Überschrift</w:t>
      </w:r>
      <w:r>
        <w:rPr>
          <w:rFonts w:ascii="LucidaCalligraphy" w:hAnsi="LucidaCalligraphy" w:cs="LucidaCalligraphy"/>
          <w:sz w:val="18"/>
          <w:szCs w:val="18"/>
        </w:rPr>
        <w:t xml:space="preserve"> und seiner „Reden an die Deutsche Nation)</w:t>
      </w:r>
      <w:r w:rsidRPr="006166A5">
        <w:rPr>
          <w:rFonts w:ascii="LucidaCalligraphy" w:hAnsi="LucidaCalligraphy" w:cs="LucidaCalligraphy"/>
          <w:sz w:val="18"/>
          <w:szCs w:val="18"/>
        </w:rPr>
        <w:t xml:space="preserve"> zugeschrieben.</w:t>
      </w:r>
    </w:p>
    <w:p w:rsidR="00055B43" w:rsidRPr="008752E6" w:rsidRDefault="00055B43" w:rsidP="00055B43">
      <w:pPr>
        <w:jc w:val="center"/>
        <w:rPr>
          <w:rFonts w:ascii="Arial" w:hAnsi="Arial" w:cs="Arial"/>
          <w:i/>
          <w:sz w:val="20"/>
          <w:szCs w:val="20"/>
        </w:rPr>
      </w:pPr>
    </w:p>
    <w:p w:rsidR="00C02EFE" w:rsidRDefault="00C36949">
      <w:pPr>
        <w:pBdr>
          <w:bottom w:val="single" w:sz="12" w:space="1" w:color="auto"/>
        </w:pBdr>
      </w:pPr>
    </w:p>
    <w:p w:rsidR="00055B43" w:rsidRDefault="00055B43" w:rsidP="00055B43">
      <w:pPr>
        <w:jc w:val="center"/>
        <w:rPr>
          <w:rFonts w:ascii="Arial" w:hAnsi="Arial" w:cs="Arial"/>
          <w:b/>
          <w:sz w:val="22"/>
          <w:szCs w:val="22"/>
        </w:rPr>
      </w:pPr>
    </w:p>
    <w:p w:rsidR="00055B43" w:rsidRDefault="00055B43" w:rsidP="00055B43">
      <w:pPr>
        <w:jc w:val="center"/>
        <w:rPr>
          <w:rFonts w:ascii="Arial" w:hAnsi="Arial" w:cs="Arial"/>
          <w:b/>
          <w:sz w:val="22"/>
          <w:szCs w:val="22"/>
        </w:rPr>
      </w:pPr>
    </w:p>
    <w:p w:rsidR="00055B43" w:rsidRDefault="00055B43" w:rsidP="00055B43">
      <w:pPr>
        <w:jc w:val="center"/>
        <w:rPr>
          <w:rFonts w:ascii="Arial" w:hAnsi="Arial" w:cs="Arial"/>
          <w:b/>
          <w:sz w:val="22"/>
          <w:szCs w:val="22"/>
        </w:rPr>
      </w:pPr>
      <w:r>
        <w:rPr>
          <w:rFonts w:ascii="Arial" w:hAnsi="Arial" w:cs="Arial"/>
          <w:b/>
          <w:sz w:val="22"/>
          <w:szCs w:val="22"/>
        </w:rPr>
        <w:t>Zwischenrufe</w:t>
      </w:r>
    </w:p>
    <w:p w:rsidR="00055B43" w:rsidRDefault="00055B43" w:rsidP="00055B43">
      <w:pPr>
        <w:jc w:val="center"/>
        <w:rPr>
          <w:rFonts w:ascii="Arial" w:hAnsi="Arial" w:cs="Arial"/>
          <w:sz w:val="20"/>
          <w:szCs w:val="20"/>
        </w:rPr>
      </w:pPr>
      <w:r>
        <w:rPr>
          <w:rFonts w:ascii="Arial" w:hAnsi="Arial" w:cs="Arial"/>
          <w:sz w:val="20"/>
          <w:szCs w:val="20"/>
        </w:rPr>
        <w:t>De-Brief 11-12/2014, S. 2</w:t>
      </w:r>
    </w:p>
    <w:p w:rsidR="00055B43" w:rsidRDefault="00055B43" w:rsidP="00055B43">
      <w:pPr>
        <w:jc w:val="center"/>
        <w:rPr>
          <w:rFonts w:ascii="Arial" w:hAnsi="Arial" w:cs="Arial"/>
          <w:sz w:val="20"/>
          <w:szCs w:val="20"/>
        </w:rPr>
      </w:pPr>
    </w:p>
    <w:p w:rsidR="00055B43" w:rsidRDefault="00055B43" w:rsidP="00055B43">
      <w:pPr>
        <w:jc w:val="both"/>
        <w:rPr>
          <w:rFonts w:ascii="Arial" w:hAnsi="Arial" w:cs="Arial"/>
          <w:sz w:val="20"/>
          <w:szCs w:val="20"/>
        </w:rPr>
      </w:pPr>
      <w:r>
        <w:rPr>
          <w:rFonts w:ascii="Arial" w:hAnsi="Arial" w:cs="Arial"/>
          <w:sz w:val="20"/>
          <w:szCs w:val="20"/>
        </w:rPr>
        <w:t>Vorbemerkung – Dies ist ausnahmsweise ein besonderer Kurzkommentar an dieser Stelle. – Der im Rundbrief des SDV (Schutzbund für das DEUTSCHE Volk) abgedruckte Beitrag von Kleine-Harttlage zum 3. Okt. 2014 ist lesenswert. Ich hätte NICHT besser formulieren können.</w:t>
      </w:r>
    </w:p>
    <w:p w:rsidR="00055B43" w:rsidRDefault="00055B43" w:rsidP="00055B43">
      <w:pPr>
        <w:jc w:val="both"/>
        <w:rPr>
          <w:rFonts w:ascii="Arial" w:hAnsi="Arial" w:cs="Arial"/>
          <w:sz w:val="20"/>
          <w:szCs w:val="20"/>
        </w:rPr>
      </w:pPr>
      <w:r>
        <w:rPr>
          <w:rFonts w:ascii="Arial" w:hAnsi="Arial" w:cs="Arial"/>
          <w:sz w:val="20"/>
          <w:szCs w:val="20"/>
        </w:rPr>
        <w:t>„Macht hoch die Tür, die Tor macht weit ....:!“ Strömt herbei ihr Entreichererscharen! Platz ist noch immer auch in der kleinsten sozialen Hängematte.</w:t>
      </w:r>
    </w:p>
    <w:p w:rsidR="00055B43" w:rsidRDefault="00055B43" w:rsidP="00055B43">
      <w:pPr>
        <w:jc w:val="both"/>
        <w:rPr>
          <w:rFonts w:ascii="Arial" w:hAnsi="Arial" w:cs="Arial"/>
          <w:sz w:val="20"/>
          <w:szCs w:val="20"/>
        </w:rPr>
      </w:pPr>
      <w:r>
        <w:rPr>
          <w:rFonts w:ascii="Arial" w:hAnsi="Arial" w:cs="Arial"/>
          <w:b/>
          <w:sz w:val="22"/>
          <w:szCs w:val="22"/>
        </w:rPr>
        <w:t>Sept.</w:t>
      </w:r>
      <w:r>
        <w:rPr>
          <w:rFonts w:ascii="Arial" w:hAnsi="Arial" w:cs="Arial"/>
          <w:sz w:val="22"/>
          <w:szCs w:val="22"/>
        </w:rPr>
        <w:t xml:space="preserve"> 2014: 13061; </w:t>
      </w:r>
      <w:r>
        <w:rPr>
          <w:rFonts w:ascii="Arial" w:hAnsi="Arial" w:cs="Arial"/>
          <w:b/>
          <w:sz w:val="22"/>
          <w:szCs w:val="22"/>
        </w:rPr>
        <w:t>Okt.:</w:t>
      </w:r>
      <w:r>
        <w:rPr>
          <w:rFonts w:ascii="Arial" w:hAnsi="Arial" w:cs="Arial"/>
          <w:sz w:val="22"/>
          <w:szCs w:val="22"/>
        </w:rPr>
        <w:t xml:space="preserve"> 5520; </w:t>
      </w:r>
      <w:r>
        <w:rPr>
          <w:rFonts w:ascii="Arial" w:hAnsi="Arial" w:cs="Arial"/>
          <w:b/>
          <w:sz w:val="22"/>
          <w:szCs w:val="22"/>
        </w:rPr>
        <w:t>Nov.:</w:t>
      </w:r>
      <w:r>
        <w:rPr>
          <w:rFonts w:ascii="Arial" w:hAnsi="Arial" w:cs="Arial"/>
          <w:sz w:val="22"/>
          <w:szCs w:val="22"/>
        </w:rPr>
        <w:t xml:space="preserve"> 22075 --- Woher? Rangfolge: Syrien: 13595; Serbien (1): 9203; Eritrea: 7768; Kosovo (2): 3334; Bosnien-Herzegowina (1): 2758; Mazedonien 1): 2695; ;  Afghanistan (2): 2533; Irak(2): 2216; Albanien (2): 1909; Ukraine(?): 1527.  --- </w:t>
      </w:r>
      <w:r>
        <w:rPr>
          <w:rFonts w:ascii="Arial" w:hAnsi="Arial" w:cs="Arial"/>
          <w:sz w:val="20"/>
          <w:szCs w:val="20"/>
        </w:rPr>
        <w:t>(1):</w:t>
      </w:r>
      <w:r>
        <w:rPr>
          <w:rFonts w:ascii="Arial" w:hAnsi="Arial" w:cs="Arial"/>
          <w:sz w:val="22"/>
          <w:szCs w:val="22"/>
        </w:rPr>
        <w:t xml:space="preserve"> </w:t>
      </w:r>
      <w:r>
        <w:rPr>
          <w:rFonts w:ascii="Arial" w:hAnsi="Arial" w:cs="Arial"/>
          <w:sz w:val="20"/>
          <w:szCs w:val="20"/>
        </w:rPr>
        <w:t xml:space="preserve">Hier handelt es sich vorrangig um Zigeuner! Serbien ist zudem EU-Beitrittskandidat! --- (2) Afghanistan wie der Irak sind dank Amis &amp; Co. befriedet! --- (?) Die Ukraine ist mittlerweile ja „westlich-demokratisch“! --- Und die Syrer? Warum gehen diese NICHT in muslimische Nachbarländer? Und NICHT zuletzt!! Alle(!) Entreicherer kommen über sichere (!) Drittstaaten ins Land und können / könnten daher umgehend abgeschoben werden..., was in der Regel NICHT geschieht... --- Quelle für die Zahlen: </w:t>
      </w:r>
      <w:hyperlink r:id="rId9" w:history="1">
        <w:r>
          <w:rPr>
            <w:rStyle w:val="Hyperlink"/>
            <w:rFonts w:ascii="Arial" w:hAnsi="Arial" w:cs="Arial"/>
            <w:sz w:val="20"/>
            <w:szCs w:val="20"/>
          </w:rPr>
          <w:t>www.bmi.bund.de/SharedDocs/Pressemitteilungen/DE/2014/12(saylanträge</w:t>
        </w:r>
      </w:hyperlink>
      <w:r>
        <w:rPr>
          <w:rFonts w:ascii="Arial" w:hAnsi="Arial" w:cs="Arial"/>
          <w:sz w:val="20"/>
          <w:szCs w:val="20"/>
        </w:rPr>
        <w:t xml:space="preserve"> </w:t>
      </w:r>
    </w:p>
    <w:p w:rsidR="00055B43" w:rsidRDefault="00055B43" w:rsidP="00055B43">
      <w:pPr>
        <w:jc w:val="both"/>
        <w:rPr>
          <w:rFonts w:ascii="Arial" w:hAnsi="Arial" w:cs="Arial"/>
          <w:sz w:val="20"/>
          <w:szCs w:val="20"/>
        </w:rPr>
      </w:pPr>
      <w:r>
        <w:rPr>
          <w:rFonts w:ascii="Arial" w:hAnsi="Arial" w:cs="Arial"/>
          <w:sz w:val="20"/>
          <w:szCs w:val="20"/>
        </w:rPr>
        <w:t>Ein Asylant dürfte den Steuerbürger jährlich um die 25.000 €, mam mehr, mal weniger – je nach Unterbringungsort. – Die Sonderleistungen wie freie Fahrt auf Straßenbahn/Bus (wie in Karlsruhe), freier Eintritt in (Hallen-) Bäder sind hier nicht eingerechnet.</w:t>
      </w:r>
    </w:p>
    <w:p w:rsidR="00055B43" w:rsidRDefault="00055B43" w:rsidP="00055B43">
      <w:pPr>
        <w:jc w:val="both"/>
        <w:rPr>
          <w:rFonts w:ascii="Arial" w:hAnsi="Arial" w:cs="Arial"/>
          <w:sz w:val="20"/>
          <w:szCs w:val="20"/>
        </w:rPr>
      </w:pPr>
      <w:r>
        <w:rPr>
          <w:rFonts w:ascii="Arial" w:hAnsi="Arial" w:cs="Arial"/>
          <w:sz w:val="22"/>
          <w:szCs w:val="22"/>
        </w:rPr>
        <w:t xml:space="preserve">Ein Asylant (30 Jahre) aus Eritrea (dunkelbraun, da „Hamit“), der seine Heimat verließ, da „keine Zukunft“, beschwert sich im SPIEGEL 46/2014, S. 17,mitleiderheischend über seine Unterbringung in </w:t>
      </w:r>
      <w:r>
        <w:rPr>
          <w:rFonts w:ascii="Arial" w:hAnsi="Arial" w:cs="Arial"/>
          <w:b/>
          <w:sz w:val="22"/>
          <w:szCs w:val="22"/>
        </w:rPr>
        <w:t>Anklam</w:t>
      </w:r>
      <w:r>
        <w:rPr>
          <w:rFonts w:ascii="Arial" w:hAnsi="Arial" w:cs="Arial"/>
          <w:sz w:val="22"/>
          <w:szCs w:val="22"/>
        </w:rPr>
        <w:t xml:space="preserve">, Vorpommern, „einer Hochburg der rechtsextremen NPD ... Eine Leseprobe: „...Einer der wenigen Orte, wo ich wohlfühle , ist der Kebab-Imbiß. Die Chefs, zwei Brüder aus der Türkei, schenken uns Flüchtlingen immer ein Lächeln. Manchmal sitze ich dort, trinke ein Bier </w:t>
      </w:r>
      <w:r>
        <w:rPr>
          <w:rFonts w:ascii="Arial" w:hAnsi="Arial" w:cs="Arial"/>
          <w:b/>
          <w:sz w:val="20"/>
          <w:szCs w:val="20"/>
        </w:rPr>
        <w:t>und stelle mir vor, Hamburg oder Berlin zu sein. Ich habe gehört, da fällt einer wie ich nicht auf.“</w:t>
      </w:r>
      <w:r>
        <w:rPr>
          <w:rFonts w:ascii="Arial" w:hAnsi="Arial" w:cs="Arial"/>
          <w:b/>
          <w:sz w:val="22"/>
          <w:szCs w:val="22"/>
        </w:rPr>
        <w:t xml:space="preserve"> --- </w:t>
      </w:r>
      <w:r>
        <w:rPr>
          <w:rFonts w:ascii="Arial" w:hAnsi="Arial" w:cs="Arial"/>
          <w:sz w:val="20"/>
          <w:szCs w:val="20"/>
        </w:rPr>
        <w:t xml:space="preserve"> Ohne weiteren Kommentar!</w:t>
      </w:r>
    </w:p>
    <w:p w:rsidR="00055B43" w:rsidRDefault="00055B43" w:rsidP="00055B43">
      <w:pPr>
        <w:jc w:val="both"/>
        <w:rPr>
          <w:rFonts w:ascii="Arial" w:hAnsi="Arial" w:cs="Arial"/>
          <w:sz w:val="22"/>
          <w:szCs w:val="22"/>
        </w:rPr>
      </w:pPr>
      <w:r>
        <w:rPr>
          <w:rFonts w:ascii="Arial" w:hAnsi="Arial" w:cs="Arial"/>
          <w:sz w:val="22"/>
          <w:szCs w:val="22"/>
        </w:rPr>
        <w:t xml:space="preserve">Im </w:t>
      </w:r>
      <w:r>
        <w:rPr>
          <w:rFonts w:ascii="Arial" w:hAnsi="Arial" w:cs="Arial"/>
          <w:sz w:val="22"/>
          <w:szCs w:val="22"/>
          <w:u w:val="single"/>
        </w:rPr>
        <w:t>Ostberliner</w:t>
      </w:r>
      <w:r>
        <w:rPr>
          <w:rFonts w:ascii="Arial" w:hAnsi="Arial" w:cs="Arial"/>
          <w:sz w:val="22"/>
          <w:szCs w:val="22"/>
        </w:rPr>
        <w:t xml:space="preserve"> Bezirk Köpenick entstand ein „Container“-Dorf für bislang 44, 7 Mio TEURO...Bei Fertigstellung, wie in Berlin gewohnt – ein Beispiel ist nicht nur der Flughafen! – ,dürfte der Betrag weitaus höher sein. </w:t>
      </w:r>
    </w:p>
    <w:p w:rsidR="00055B43" w:rsidRDefault="00055B43" w:rsidP="00055B43">
      <w:pPr>
        <w:jc w:val="center"/>
        <w:rPr>
          <w:rFonts w:ascii="Arial" w:hAnsi="Arial" w:cs="Arial"/>
          <w:b/>
          <w:sz w:val="22"/>
          <w:szCs w:val="22"/>
        </w:rPr>
      </w:pPr>
    </w:p>
    <w:p w:rsidR="00055B43" w:rsidRDefault="00055B43" w:rsidP="00055B43">
      <w:pPr>
        <w:jc w:val="center"/>
        <w:rPr>
          <w:rFonts w:ascii="Arial" w:hAnsi="Arial" w:cs="Arial"/>
          <w:sz w:val="20"/>
          <w:szCs w:val="20"/>
        </w:rPr>
      </w:pPr>
      <w:r>
        <w:rPr>
          <w:rFonts w:ascii="Arial" w:hAnsi="Arial" w:cs="Arial"/>
          <w:sz w:val="20"/>
          <w:szCs w:val="20"/>
        </w:rPr>
        <w:t>De-Brief 11-12/2014, S. 2</w:t>
      </w:r>
    </w:p>
    <w:p w:rsidR="00055B43" w:rsidRDefault="00055B43" w:rsidP="00055B43">
      <w:pPr>
        <w:jc w:val="center"/>
        <w:rPr>
          <w:rFonts w:ascii="Arial" w:hAnsi="Arial" w:cs="Arial"/>
          <w:sz w:val="20"/>
          <w:szCs w:val="20"/>
        </w:rPr>
      </w:pPr>
    </w:p>
    <w:p w:rsidR="00055B43" w:rsidRDefault="00055B43" w:rsidP="00055B43">
      <w:pPr>
        <w:jc w:val="both"/>
        <w:rPr>
          <w:rFonts w:ascii="Arial" w:hAnsi="Arial" w:cs="Arial"/>
          <w:sz w:val="20"/>
          <w:szCs w:val="20"/>
        </w:rPr>
      </w:pPr>
      <w:r>
        <w:rPr>
          <w:rFonts w:ascii="Arial" w:hAnsi="Arial" w:cs="Arial"/>
          <w:sz w:val="20"/>
          <w:szCs w:val="20"/>
        </w:rPr>
        <w:t>Vorbemerkung – Dies ist ausnahmsweise ein besonderer Kurzkommentar an dieser Stelle. – Der im Rundbrief des SDV (Schutzbund für das DEUTSCHE Volk) abgedruckte Beitrag von Kleine-Harttlage zum 3. Okt. 2014 ist lesenswert. Ich hätte NICHT besser formulieren können.</w:t>
      </w:r>
    </w:p>
    <w:p w:rsidR="00055B43" w:rsidRDefault="00055B43" w:rsidP="00055B43">
      <w:pPr>
        <w:jc w:val="both"/>
        <w:rPr>
          <w:rFonts w:ascii="Arial" w:hAnsi="Arial" w:cs="Arial"/>
          <w:sz w:val="20"/>
          <w:szCs w:val="20"/>
        </w:rPr>
      </w:pPr>
      <w:r>
        <w:rPr>
          <w:rFonts w:ascii="Arial" w:hAnsi="Arial" w:cs="Arial"/>
          <w:sz w:val="20"/>
          <w:szCs w:val="20"/>
        </w:rPr>
        <w:t>„Macht hoch die Tür, die Tor macht weit ....:!“ Strömt herbei ihr Entreichererscharen! Platz ist noch immer auch in der kleinsten sozialen Hängematte.</w:t>
      </w:r>
    </w:p>
    <w:p w:rsidR="00055B43" w:rsidRDefault="00055B43" w:rsidP="00055B43">
      <w:pPr>
        <w:jc w:val="both"/>
        <w:rPr>
          <w:rFonts w:ascii="Arial" w:hAnsi="Arial" w:cs="Arial"/>
          <w:sz w:val="20"/>
          <w:szCs w:val="20"/>
        </w:rPr>
      </w:pPr>
      <w:r>
        <w:rPr>
          <w:rFonts w:ascii="Arial" w:hAnsi="Arial" w:cs="Arial"/>
          <w:b/>
          <w:sz w:val="22"/>
          <w:szCs w:val="22"/>
        </w:rPr>
        <w:t>Sept.</w:t>
      </w:r>
      <w:r>
        <w:rPr>
          <w:rFonts w:ascii="Arial" w:hAnsi="Arial" w:cs="Arial"/>
          <w:sz w:val="22"/>
          <w:szCs w:val="22"/>
        </w:rPr>
        <w:t xml:space="preserve"> 2014: 13061; </w:t>
      </w:r>
      <w:r>
        <w:rPr>
          <w:rFonts w:ascii="Arial" w:hAnsi="Arial" w:cs="Arial"/>
          <w:b/>
          <w:sz w:val="22"/>
          <w:szCs w:val="22"/>
        </w:rPr>
        <w:t>Okt.:</w:t>
      </w:r>
      <w:r>
        <w:rPr>
          <w:rFonts w:ascii="Arial" w:hAnsi="Arial" w:cs="Arial"/>
          <w:sz w:val="22"/>
          <w:szCs w:val="22"/>
        </w:rPr>
        <w:t xml:space="preserve"> 5520; </w:t>
      </w:r>
      <w:r>
        <w:rPr>
          <w:rFonts w:ascii="Arial" w:hAnsi="Arial" w:cs="Arial"/>
          <w:b/>
          <w:sz w:val="22"/>
          <w:szCs w:val="22"/>
        </w:rPr>
        <w:t>Nov.:</w:t>
      </w:r>
      <w:r>
        <w:rPr>
          <w:rFonts w:ascii="Arial" w:hAnsi="Arial" w:cs="Arial"/>
          <w:sz w:val="22"/>
          <w:szCs w:val="22"/>
        </w:rPr>
        <w:t xml:space="preserve"> 22075 --- Woher? Rangfolge: Syrien: 13595; Serbien (1): 9203; Eritrea: 7768; Kosovo (2): 3334; Bosnien-Herzegowina (1): 2758; Mazedonien 1): 2695; ;  Afghanistan (2): 2533; Irak(2): 2216; Albanien (2): 1909; Ukraine(?): 1527.  --- </w:t>
      </w:r>
      <w:r>
        <w:rPr>
          <w:rFonts w:ascii="Arial" w:hAnsi="Arial" w:cs="Arial"/>
          <w:sz w:val="20"/>
          <w:szCs w:val="20"/>
        </w:rPr>
        <w:t>(1):</w:t>
      </w:r>
      <w:r>
        <w:rPr>
          <w:rFonts w:ascii="Arial" w:hAnsi="Arial" w:cs="Arial"/>
          <w:sz w:val="22"/>
          <w:szCs w:val="22"/>
        </w:rPr>
        <w:t xml:space="preserve"> </w:t>
      </w:r>
      <w:r>
        <w:rPr>
          <w:rFonts w:ascii="Arial" w:hAnsi="Arial" w:cs="Arial"/>
          <w:sz w:val="20"/>
          <w:szCs w:val="20"/>
        </w:rPr>
        <w:t xml:space="preserve">Hier handelt es sich vorrangig um Zigeuner! Serbien ist zudem EU-Beitrittskandidat! --- (2) Afghanistan wie der Irak sind dank Amis &amp; Co. befriedet! --- (?) Die Ukraine ist mittlerweile ja „westlich-demokratisch“! --- Und die Syrer? Warum gehen diese NICHT in muslimische Nachbarländer? Und NICHT zuletzt!! Alle(!) Entreicherer kommen über sichere (!) Drittstaaten ins Land und können / könnten daher umgehend abgeschoben werden..., was in der Regel NICHT geschieht... --- Quelle für die Zahlen: </w:t>
      </w:r>
      <w:hyperlink r:id="rId10" w:history="1">
        <w:r>
          <w:rPr>
            <w:rStyle w:val="Hyperlink"/>
            <w:rFonts w:ascii="Arial" w:hAnsi="Arial" w:cs="Arial"/>
            <w:sz w:val="20"/>
            <w:szCs w:val="20"/>
          </w:rPr>
          <w:t>www.bmi.bund.de/SharedDocs/Pressemitteilungen/DE/2014/12(saylanträge</w:t>
        </w:r>
      </w:hyperlink>
      <w:r>
        <w:rPr>
          <w:rFonts w:ascii="Arial" w:hAnsi="Arial" w:cs="Arial"/>
          <w:sz w:val="20"/>
          <w:szCs w:val="20"/>
        </w:rPr>
        <w:t xml:space="preserve"> </w:t>
      </w:r>
    </w:p>
    <w:p w:rsidR="00055B43" w:rsidRDefault="00055B43" w:rsidP="00055B43">
      <w:pPr>
        <w:jc w:val="both"/>
        <w:rPr>
          <w:rFonts w:ascii="Arial" w:hAnsi="Arial" w:cs="Arial"/>
          <w:sz w:val="20"/>
          <w:szCs w:val="20"/>
        </w:rPr>
      </w:pPr>
      <w:r>
        <w:rPr>
          <w:rFonts w:ascii="Arial" w:hAnsi="Arial" w:cs="Arial"/>
          <w:sz w:val="20"/>
          <w:szCs w:val="20"/>
        </w:rPr>
        <w:t>Ein Asylant dürfte den Steuerbürger jährlich um die 25.000 €, mam mehr, mal weniger – je nach Unterbringungsort. – Die Sonderleistungen wie freie Fahrt auf Straßenbahn/Bus (wie in Karlsruhe), freier Eintritt in (Hallen-) Bäder sind hier nicht eingerechnet.</w:t>
      </w:r>
    </w:p>
    <w:p w:rsidR="00055B43" w:rsidRDefault="00055B43" w:rsidP="00055B43">
      <w:pPr>
        <w:jc w:val="both"/>
        <w:rPr>
          <w:rFonts w:ascii="Arial" w:hAnsi="Arial" w:cs="Arial"/>
          <w:sz w:val="20"/>
          <w:szCs w:val="20"/>
        </w:rPr>
      </w:pPr>
      <w:r>
        <w:rPr>
          <w:rFonts w:ascii="Arial" w:hAnsi="Arial" w:cs="Arial"/>
          <w:sz w:val="22"/>
          <w:szCs w:val="22"/>
        </w:rPr>
        <w:t xml:space="preserve">Ein Asylant (30 Jahre) aus Eritrea (dunkelbraun, da „Hamit“), der seine Heimat verließ, da „keine Zukunft“, beschwert sich im SPIEGEL 46/2014, S. 17,mitleiderheischend über seine Unterbringung in </w:t>
      </w:r>
      <w:r>
        <w:rPr>
          <w:rFonts w:ascii="Arial" w:hAnsi="Arial" w:cs="Arial"/>
          <w:b/>
          <w:sz w:val="22"/>
          <w:szCs w:val="22"/>
        </w:rPr>
        <w:t>Anklam</w:t>
      </w:r>
      <w:r>
        <w:rPr>
          <w:rFonts w:ascii="Arial" w:hAnsi="Arial" w:cs="Arial"/>
          <w:sz w:val="22"/>
          <w:szCs w:val="22"/>
        </w:rPr>
        <w:t xml:space="preserve">, Vorpommern, „einer Hochburg der rechtsextremen NPD ... Eine Leseprobe: „...Einer der wenigen Orte, wo ich wohlfühle , ist der Kebab-Imbiß. Die Chefs, zwei Brüder aus der Türkei, schenken uns Flüchtlingen immer ein Lächeln. Manchmal sitze ich dort, trinke ein Bier </w:t>
      </w:r>
      <w:r>
        <w:rPr>
          <w:rFonts w:ascii="Arial" w:hAnsi="Arial" w:cs="Arial"/>
          <w:b/>
          <w:sz w:val="20"/>
          <w:szCs w:val="20"/>
        </w:rPr>
        <w:t>und stelle mir vor, Hamburg oder Berlin zu sein. Ich habe gehört, da fällt einer wie ich nicht auf.“</w:t>
      </w:r>
      <w:r>
        <w:rPr>
          <w:rFonts w:ascii="Arial" w:hAnsi="Arial" w:cs="Arial"/>
          <w:b/>
          <w:sz w:val="22"/>
          <w:szCs w:val="22"/>
        </w:rPr>
        <w:t xml:space="preserve"> --- </w:t>
      </w:r>
      <w:r>
        <w:rPr>
          <w:rFonts w:ascii="Arial" w:hAnsi="Arial" w:cs="Arial"/>
          <w:sz w:val="20"/>
          <w:szCs w:val="20"/>
        </w:rPr>
        <w:t xml:space="preserve"> Ohne weiteren Kommentar!</w:t>
      </w:r>
    </w:p>
    <w:p w:rsidR="00055B43" w:rsidRDefault="00055B43" w:rsidP="00055B43">
      <w:pPr>
        <w:jc w:val="both"/>
        <w:rPr>
          <w:rFonts w:ascii="Arial" w:hAnsi="Arial" w:cs="Arial"/>
          <w:sz w:val="22"/>
          <w:szCs w:val="22"/>
        </w:rPr>
      </w:pPr>
      <w:r>
        <w:rPr>
          <w:rFonts w:ascii="Arial" w:hAnsi="Arial" w:cs="Arial"/>
          <w:sz w:val="22"/>
          <w:szCs w:val="22"/>
        </w:rPr>
        <w:t xml:space="preserve">Im </w:t>
      </w:r>
      <w:r>
        <w:rPr>
          <w:rFonts w:ascii="Arial" w:hAnsi="Arial" w:cs="Arial"/>
          <w:sz w:val="22"/>
          <w:szCs w:val="22"/>
          <w:u w:val="single"/>
        </w:rPr>
        <w:t>Ostberliner</w:t>
      </w:r>
      <w:r>
        <w:rPr>
          <w:rFonts w:ascii="Arial" w:hAnsi="Arial" w:cs="Arial"/>
          <w:sz w:val="22"/>
          <w:szCs w:val="22"/>
        </w:rPr>
        <w:t xml:space="preserve"> Bezirk Köpenick entstand ein „Container“-Dorf für bislang 44, 7 Mio TEURO...Bei Fertigstellung, wie in Berlin gewohnt – ein Beispiel ist nicht nur der Flughafen! – ,dürfte der Betrag weitaus höher sein. </w:t>
      </w:r>
    </w:p>
    <w:p w:rsidR="00055B43" w:rsidRDefault="00055B43" w:rsidP="00055B43">
      <w:pPr>
        <w:jc w:val="both"/>
        <w:rPr>
          <w:rFonts w:ascii="Arial" w:hAnsi="Arial" w:cs="Arial"/>
          <w:sz w:val="22"/>
          <w:szCs w:val="22"/>
        </w:rPr>
      </w:pPr>
      <w:r>
        <w:rPr>
          <w:rFonts w:ascii="Arial" w:hAnsi="Arial" w:cs="Arial"/>
          <w:sz w:val="22"/>
          <w:szCs w:val="22"/>
        </w:rPr>
        <w:t>--- Für ein „Kaff“, im Vergleich zu Berlin, wie Weinheim (44.000 E) ist so was NICHT menschenwürdig, NICHT einladend genug! Reihenhäuser müssen es sein!!!</w:t>
      </w:r>
    </w:p>
    <w:p w:rsidR="00055B43" w:rsidRDefault="00055B43" w:rsidP="00055B43">
      <w:pPr>
        <w:jc w:val="both"/>
        <w:rPr>
          <w:rFonts w:ascii="Arial" w:hAnsi="Arial" w:cs="Arial"/>
          <w:sz w:val="20"/>
          <w:szCs w:val="20"/>
        </w:rPr>
      </w:pPr>
      <w:r>
        <w:rPr>
          <w:rFonts w:ascii="Arial" w:hAnsi="Arial" w:cs="Arial"/>
          <w:i/>
          <w:sz w:val="20"/>
          <w:szCs w:val="20"/>
        </w:rPr>
        <w:t>„</w:t>
      </w:r>
      <w:r>
        <w:rPr>
          <w:rFonts w:ascii="Arial" w:hAnsi="Arial" w:cs="Arial"/>
          <w:b/>
          <w:i/>
          <w:sz w:val="20"/>
          <w:szCs w:val="20"/>
        </w:rPr>
        <w:t xml:space="preserve">Es kann nicht angehen, </w:t>
      </w:r>
      <w:r>
        <w:rPr>
          <w:rFonts w:ascii="Arial" w:hAnsi="Arial" w:cs="Arial"/>
          <w:i/>
          <w:sz w:val="20"/>
          <w:szCs w:val="20"/>
        </w:rPr>
        <w:t xml:space="preserve">daß wegen Vorbereitung eines hochverräterischen Unternehmens bestraft wird, wer die Staatsform der BRD abändern will, während de, der das DEUTSCHE Staatsvolk in der BRD abschaffen und durch eine multikulturellen  Gesellschaft ersetzen und auf deutschem Boden einen Vielvölkerstaat etablieren will, straffrei bleibt. Das eine ist korrigierbar, das andere nicht, und daher viel verwerflicher und strafwürdiger. Diese Rechtslage wird auch der Generalbundesanwalt nicht auf Dauer ignorieren können.“ – </w:t>
      </w:r>
      <w:r>
        <w:rPr>
          <w:rFonts w:ascii="Arial" w:hAnsi="Arial" w:cs="Arial"/>
          <w:b/>
          <w:sz w:val="20"/>
          <w:szCs w:val="20"/>
        </w:rPr>
        <w:t>Dr. jur. Otto Uhllitz,</w:t>
      </w:r>
      <w:r>
        <w:rPr>
          <w:rFonts w:ascii="Arial" w:hAnsi="Arial" w:cs="Arial"/>
          <w:sz w:val="20"/>
          <w:szCs w:val="20"/>
        </w:rPr>
        <w:t xml:space="preserve"> ehemaliger Berliner Senatsdirektor (SPD?)  in „Aspekte der Souveränität“, </w:t>
      </w:r>
      <w:r>
        <w:rPr>
          <w:rFonts w:ascii="Arial" w:hAnsi="Arial" w:cs="Arial"/>
          <w:sz w:val="20"/>
          <w:szCs w:val="20"/>
        </w:rPr>
        <w:t>Kiel 1987 (Antiquarisch sicher d</w:t>
      </w:r>
      <w:r>
        <w:rPr>
          <w:rFonts w:ascii="Arial" w:hAnsi="Arial" w:cs="Arial"/>
          <w:sz w:val="20"/>
          <w:szCs w:val="20"/>
        </w:rPr>
        <w:t>och noch zu bekommen.)</w:t>
      </w: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2"/>
          <w:szCs w:val="22"/>
        </w:rPr>
      </w:pPr>
      <w:r>
        <w:rPr>
          <w:rFonts w:ascii="Arial" w:hAnsi="Arial" w:cs="Arial"/>
          <w:sz w:val="22"/>
          <w:szCs w:val="22"/>
        </w:rPr>
        <w:t>________________________________________________________________________________________</w:t>
      </w:r>
    </w:p>
    <w:p w:rsidR="00055B43" w:rsidRDefault="00055B43"/>
    <w:p w:rsidR="00055B43" w:rsidRDefault="00055B43"/>
    <w:p w:rsidR="00055B43" w:rsidRDefault="00055B43" w:rsidP="00055B43">
      <w:pPr>
        <w:jc w:val="center"/>
        <w:rPr>
          <w:rFonts w:ascii="Arial" w:hAnsi="Arial" w:cs="Arial"/>
          <w:sz w:val="20"/>
          <w:szCs w:val="20"/>
        </w:rPr>
      </w:pPr>
      <w:r>
        <w:rPr>
          <w:rFonts w:ascii="Arial" w:hAnsi="Arial" w:cs="Arial"/>
          <w:b/>
          <w:sz w:val="18"/>
          <w:szCs w:val="18"/>
        </w:rPr>
        <w:t>Deckert-</w:t>
      </w:r>
      <w:r>
        <w:rPr>
          <w:rFonts w:ascii="Arial" w:hAnsi="Arial" w:cs="Arial"/>
          <w:sz w:val="20"/>
          <w:szCs w:val="20"/>
        </w:rPr>
        <w:t>Stimme 11-12/2014, S. 6</w:t>
      </w:r>
    </w:p>
    <w:p w:rsidR="00055B43" w:rsidRDefault="00055B43" w:rsidP="00055B43">
      <w:pPr>
        <w:jc w:val="center"/>
        <w:rPr>
          <w:rFonts w:ascii="Arial" w:hAnsi="Arial" w:cs="Arial"/>
          <w:b/>
          <w:sz w:val="20"/>
          <w:szCs w:val="20"/>
        </w:rPr>
      </w:pPr>
      <w:r>
        <w:rPr>
          <w:rFonts w:ascii="Arial" w:hAnsi="Arial" w:cs="Arial"/>
          <w:b/>
          <w:sz w:val="20"/>
          <w:szCs w:val="20"/>
        </w:rPr>
        <w:t>Dies &amp; das</w:t>
      </w:r>
    </w:p>
    <w:p w:rsidR="00055B43" w:rsidRDefault="00055B43" w:rsidP="00055B43">
      <w:pPr>
        <w:jc w:val="both"/>
        <w:rPr>
          <w:rFonts w:ascii="Arial" w:hAnsi="Arial" w:cs="Arial"/>
          <w:sz w:val="22"/>
          <w:szCs w:val="22"/>
          <w:u w:val="single"/>
        </w:rPr>
      </w:pPr>
    </w:p>
    <w:p w:rsidR="00055B43" w:rsidRDefault="00055B43" w:rsidP="00055B43">
      <w:pPr>
        <w:jc w:val="both"/>
        <w:rPr>
          <w:rFonts w:ascii="Arial" w:hAnsi="Arial" w:cs="Arial"/>
          <w:sz w:val="20"/>
          <w:szCs w:val="20"/>
        </w:rPr>
      </w:pPr>
      <w:r>
        <w:rPr>
          <w:rFonts w:ascii="Arial" w:hAnsi="Arial" w:cs="Arial"/>
          <w:sz w:val="20"/>
          <w:szCs w:val="20"/>
        </w:rPr>
        <w:t xml:space="preserve">Günter Zemella: </w:t>
      </w:r>
      <w:r>
        <w:rPr>
          <w:rFonts w:ascii="Arial" w:hAnsi="Arial" w:cs="Arial"/>
          <w:b/>
          <w:sz w:val="20"/>
          <w:szCs w:val="20"/>
        </w:rPr>
        <w:t xml:space="preserve">Warum mußten Deutschlands Städte sterben? </w:t>
      </w:r>
      <w:r>
        <w:rPr>
          <w:rFonts w:ascii="Arial" w:hAnsi="Arial" w:cs="Arial"/>
          <w:sz w:val="20"/>
          <w:szCs w:val="20"/>
        </w:rPr>
        <w:t>Eine chronologische Dokumentation des Luftkrieges gegen Deutschland 1940 – 1945 --- 648 S., zahlreiche Abb. s/w., Festeinband, 24, 90 € - Lippoldsberg 2014</w:t>
      </w:r>
    </w:p>
    <w:p w:rsidR="00055B43" w:rsidRDefault="00055B43" w:rsidP="00055B43">
      <w:pPr>
        <w:jc w:val="both"/>
        <w:rPr>
          <w:rFonts w:ascii="Arial" w:hAnsi="Arial" w:cs="Arial"/>
          <w:sz w:val="22"/>
          <w:szCs w:val="22"/>
        </w:rPr>
      </w:pPr>
      <w:r>
        <w:rPr>
          <w:rFonts w:ascii="Arial" w:hAnsi="Arial" w:cs="Arial"/>
          <w:sz w:val="22"/>
          <w:szCs w:val="22"/>
        </w:rPr>
        <w:t xml:space="preserve">Wie der Titel bereits aussagt, handelt es sich um eine äußerst umfangreiche Dokumentierung des Luftkrieges  und ist insofern, neben dem Gar. Wendig, </w:t>
      </w:r>
      <w:r>
        <w:rPr>
          <w:rFonts w:ascii="Arial" w:hAnsi="Arial" w:cs="Arial"/>
          <w:b/>
          <w:sz w:val="22"/>
          <w:szCs w:val="22"/>
        </w:rPr>
        <w:t xml:space="preserve">das </w:t>
      </w:r>
      <w:r>
        <w:rPr>
          <w:rFonts w:ascii="Arial" w:hAnsi="Arial" w:cs="Arial"/>
          <w:sz w:val="22"/>
          <w:szCs w:val="22"/>
        </w:rPr>
        <w:t>Nach-</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t>schlagewerk zu diesem Thema schlechthin. Sehr zu empfehlen.</w:t>
      </w:r>
    </w:p>
    <w:p w:rsidR="00055B43" w:rsidRDefault="00055B43" w:rsidP="00055B43">
      <w:pPr>
        <w:jc w:val="both"/>
        <w:rPr>
          <w:rFonts w:ascii="Arial" w:hAnsi="Arial" w:cs="Arial"/>
          <w:sz w:val="20"/>
          <w:szCs w:val="20"/>
        </w:rPr>
      </w:pPr>
    </w:p>
    <w:p w:rsidR="00055B43" w:rsidRDefault="00055B43" w:rsidP="00055B43">
      <w:pPr>
        <w:jc w:val="both"/>
        <w:rPr>
          <w:rFonts w:ascii="Arial" w:hAnsi="Arial" w:cs="Arial"/>
          <w:sz w:val="20"/>
          <w:szCs w:val="20"/>
        </w:rPr>
      </w:pPr>
      <w:r>
        <w:rPr>
          <w:rFonts w:ascii="Arial" w:hAnsi="Arial" w:cs="Arial"/>
          <w:sz w:val="20"/>
          <w:szCs w:val="20"/>
        </w:rPr>
        <w:t xml:space="preserve">Hans-Peter Low-Müller: </w:t>
      </w:r>
      <w:r>
        <w:rPr>
          <w:rFonts w:ascii="Arial" w:hAnsi="Arial" w:cs="Arial"/>
          <w:b/>
          <w:sz w:val="20"/>
          <w:szCs w:val="20"/>
        </w:rPr>
        <w:t>Wer nicht mit den Wölfen heult. Geht vor die Hunde ... – Ein Leben in der DDR und BRD ---</w:t>
      </w:r>
      <w:r>
        <w:rPr>
          <w:rFonts w:ascii="Arial" w:hAnsi="Arial" w:cs="Arial"/>
          <w:sz w:val="20"/>
          <w:szCs w:val="20"/>
        </w:rPr>
        <w:t xml:space="preserve">  438 S. , zahlreiche Abb. s/w, fester Einband, 19, 95 €, Lippoldsberg 2014</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t>Der Verfasser, Jg. 1934, Kinderarzt, erzählt sehr anschaulich seine zwei Lebenswelten und liefert tiefe Einsichten in das Innenleben der beiden deutschen Teilstaaten mit ihren Schattenseiten. Er saß wegen Republikflucht auch in Haft und wurde 1975 von der BRD freigekauft.  – Empfehlenswert und als Geschenk gut geeignet.</w:t>
      </w: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0"/>
          <w:szCs w:val="20"/>
        </w:rPr>
      </w:pPr>
      <w:r>
        <w:rPr>
          <w:rFonts w:ascii="Arial" w:hAnsi="Arial" w:cs="Arial"/>
          <w:sz w:val="20"/>
          <w:szCs w:val="20"/>
        </w:rPr>
        <w:t xml:space="preserve">Stefan Scheil: </w:t>
      </w:r>
      <w:r>
        <w:rPr>
          <w:rFonts w:ascii="Arial" w:hAnsi="Arial" w:cs="Arial"/>
          <w:b/>
          <w:sz w:val="20"/>
          <w:szCs w:val="20"/>
        </w:rPr>
        <w:t>Polen 1939 – Kriegskalkül, Vorbereitung, Vollzug --</w:t>
      </w:r>
      <w:r>
        <w:rPr>
          <w:rFonts w:ascii="Arial" w:hAnsi="Arial" w:cs="Arial"/>
          <w:sz w:val="20"/>
          <w:szCs w:val="20"/>
        </w:rPr>
        <w:t>-96 S., fester Einband, Postkartenformat, 8, 50 €, Schnellroda, Saale-Kreis /S.-An-halt 2014</w:t>
      </w:r>
    </w:p>
    <w:p w:rsidR="00055B43" w:rsidRDefault="00055B43" w:rsidP="00055B43">
      <w:pPr>
        <w:pBdr>
          <w:bottom w:val="thinThickThinMediumGap" w:sz="18" w:space="1" w:color="auto"/>
        </w:pBdr>
        <w:jc w:val="both"/>
        <w:rPr>
          <w:rFonts w:ascii="Arial" w:hAnsi="Arial" w:cs="Arial"/>
          <w:sz w:val="20"/>
          <w:szCs w:val="20"/>
        </w:rPr>
      </w:pPr>
      <w:r>
        <w:rPr>
          <w:rFonts w:ascii="Arial" w:hAnsi="Arial" w:cs="Arial"/>
          <w:sz w:val="20"/>
          <w:szCs w:val="20"/>
        </w:rPr>
        <w:t>Wie bereits in „</w:t>
      </w:r>
      <w:r>
        <w:rPr>
          <w:rFonts w:ascii="Arial" w:hAnsi="Arial" w:cs="Arial"/>
          <w:b/>
          <w:sz w:val="20"/>
          <w:szCs w:val="20"/>
        </w:rPr>
        <w:t>Präventivschlag“</w:t>
      </w:r>
      <w:r>
        <w:rPr>
          <w:rFonts w:ascii="Arial" w:hAnsi="Arial" w:cs="Arial"/>
          <w:sz w:val="20"/>
          <w:szCs w:val="20"/>
        </w:rPr>
        <w:t xml:space="preserve"> bringt es der gelernte Neuhistoriker Scheil auch in dieser Frage genau auf den Punkt. Kurz und bündig und sehr empfehlenswert.</w:t>
      </w:r>
    </w:p>
    <w:p w:rsidR="00055B43" w:rsidRDefault="00055B43" w:rsidP="00055B43">
      <w:pPr>
        <w:jc w:val="both"/>
        <w:rPr>
          <w:rFonts w:ascii="Arial" w:hAnsi="Arial" w:cs="Arial"/>
          <w:sz w:val="20"/>
          <w:szCs w:val="20"/>
        </w:rPr>
      </w:pPr>
    </w:p>
    <w:p w:rsidR="00055B43" w:rsidRDefault="00055B43" w:rsidP="00055B43">
      <w:pPr>
        <w:jc w:val="both"/>
        <w:rPr>
          <w:rFonts w:ascii="Arial" w:hAnsi="Arial" w:cs="Arial"/>
          <w:sz w:val="20"/>
          <w:szCs w:val="20"/>
        </w:rPr>
      </w:pPr>
      <w:r>
        <w:rPr>
          <w:rFonts w:ascii="Arial" w:hAnsi="Arial" w:cs="Arial"/>
          <w:sz w:val="20"/>
          <w:szCs w:val="20"/>
        </w:rPr>
        <w:t xml:space="preserve">Hans Meiser: </w:t>
      </w:r>
      <w:r>
        <w:rPr>
          <w:rFonts w:ascii="Arial" w:hAnsi="Arial" w:cs="Arial"/>
          <w:b/>
          <w:sz w:val="20"/>
          <w:szCs w:val="20"/>
        </w:rPr>
        <w:t>Verratene Verräter – Die Schuld des Widerstandes an Ausbruch und Ausgang des Zweiten</w:t>
      </w:r>
      <w:r>
        <w:rPr>
          <w:rFonts w:ascii="Arial" w:hAnsi="Arial" w:cs="Arial"/>
          <w:sz w:val="20"/>
          <w:szCs w:val="20"/>
        </w:rPr>
        <w:t xml:space="preserve"> </w:t>
      </w:r>
      <w:r>
        <w:rPr>
          <w:rFonts w:ascii="Arial" w:hAnsi="Arial" w:cs="Arial"/>
          <w:b/>
          <w:sz w:val="20"/>
          <w:szCs w:val="20"/>
        </w:rPr>
        <w:t xml:space="preserve">Weltkrieges“ </w:t>
      </w:r>
      <w:r>
        <w:rPr>
          <w:rFonts w:ascii="Arial" w:hAnsi="Arial" w:cs="Arial"/>
          <w:sz w:val="20"/>
          <w:szCs w:val="20"/>
        </w:rPr>
        <w:t>- --336 S., fester Einband, einige Schaubilder und Karten s/w., 19, 90 €, Gilching/Obb.2008²</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lastRenderedPageBreak/>
        <w:t xml:space="preserve">Auch wenn bereits etwas älter - bekam es erst vor kurzem in die Hände -, so dennoch ein Muß für den zeitgeschichtlich Interessierten. </w:t>
      </w:r>
    </w:p>
    <w:p w:rsidR="00055B43" w:rsidRDefault="00055B43" w:rsidP="00055B43">
      <w:pPr>
        <w:jc w:val="both"/>
        <w:rPr>
          <w:rFonts w:ascii="Arial" w:hAnsi="Arial" w:cs="Arial"/>
          <w:sz w:val="20"/>
          <w:szCs w:val="20"/>
        </w:rPr>
      </w:pPr>
      <w:r>
        <w:rPr>
          <w:rFonts w:ascii="Arial" w:hAnsi="Arial" w:cs="Arial"/>
          <w:sz w:val="20"/>
          <w:szCs w:val="20"/>
        </w:rPr>
        <w:t xml:space="preserve">Albrecht Jebens, Hrsg.: </w:t>
      </w:r>
      <w:r>
        <w:rPr>
          <w:rFonts w:ascii="Arial" w:hAnsi="Arial" w:cs="Arial"/>
          <w:b/>
          <w:sz w:val="20"/>
          <w:szCs w:val="20"/>
        </w:rPr>
        <w:t xml:space="preserve">Eine Feder für Deutschland – Festschrift für Rolf Kosiek  --- </w:t>
      </w:r>
      <w:r>
        <w:rPr>
          <w:rFonts w:ascii="Arial" w:hAnsi="Arial" w:cs="Arial"/>
          <w:sz w:val="20"/>
          <w:szCs w:val="20"/>
        </w:rPr>
        <w:t>448 S.,</w:t>
      </w:r>
      <w:r>
        <w:rPr>
          <w:rFonts w:ascii="Arial" w:hAnsi="Arial" w:cs="Arial"/>
          <w:b/>
          <w:sz w:val="20"/>
          <w:szCs w:val="20"/>
        </w:rPr>
        <w:t xml:space="preserve"> </w:t>
      </w:r>
      <w:r>
        <w:rPr>
          <w:rFonts w:ascii="Arial" w:hAnsi="Arial" w:cs="Arial"/>
          <w:sz w:val="20"/>
          <w:szCs w:val="20"/>
        </w:rPr>
        <w:t>fester Einband, 22, 80 €, Tübingen 2014</w:t>
      </w:r>
    </w:p>
    <w:p w:rsidR="00055B43" w:rsidRDefault="00055B43" w:rsidP="00055B43">
      <w:pPr>
        <w:jc w:val="both"/>
        <w:rPr>
          <w:rFonts w:ascii="Arial" w:hAnsi="Arial" w:cs="Arial"/>
          <w:sz w:val="22"/>
          <w:szCs w:val="22"/>
        </w:rPr>
      </w:pPr>
      <w:r>
        <w:rPr>
          <w:rFonts w:ascii="Arial" w:hAnsi="Arial" w:cs="Arial"/>
          <w:sz w:val="22"/>
          <w:szCs w:val="22"/>
        </w:rPr>
        <w:t>Über Rolf Kosiek, der 80 Jahre alt wurde, muß ich nicht viel Worte verlieren. -  Publizistisch bekannte und weniger bekannte Freunde und Weggefährten (30 an der Zahl) haben sich unter „Leitung“ des Herausgebers zusammen getan, um ihn mit einer Festschrift</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t>zu ehren. Diese gliedert die Beiträge in drei Teile: 1) Deutschland in der Geschichte, 2) Deutschland in der Gegenwart und 3) Deutschland und die Zukunft. – Den echten (!) NATIONALEN tätig sind, wird immer (häufiger) vorgeworfen, daß es an Köpfen fehlt. Dies trifft nur für die „Politik“ zu, ist aber gleichzeitig bedauerlich, daß sich die „Köpfe“ aus den Niederungen der Politik zurückgezogen haben oder fernhalten. Im Elfenbeinturm werden indes keine politischen Schlachten gewonnen. Und das Setzen auf immer „neue Pferde“ ist eher eine theoretische denn eine umsetzbare Lösung. – Dennoch sollten sich NATIONALE Amtsträger aufraffen und in den Wintermonaten darin nicht nur blättern.</w:t>
      </w:r>
    </w:p>
    <w:p w:rsidR="00055B43" w:rsidRDefault="00055B43" w:rsidP="00055B43">
      <w:pPr>
        <w:pBdr>
          <w:bottom w:val="thinThickThinMediumGap" w:sz="18" w:space="1" w:color="auto"/>
        </w:pBdr>
        <w:jc w:val="both"/>
        <w:rPr>
          <w:rFonts w:ascii="Arial" w:hAnsi="Arial" w:cs="Arial"/>
          <w:sz w:val="20"/>
          <w:szCs w:val="20"/>
        </w:rPr>
      </w:pPr>
      <w:r>
        <w:rPr>
          <w:rFonts w:ascii="Arial" w:hAnsi="Arial" w:cs="Arial"/>
          <w:sz w:val="20"/>
          <w:szCs w:val="20"/>
        </w:rPr>
        <w:t>Obwohl ich Rolf Kosiek seit 1966 (!) kenne, wurde ich NICHT gebeten, einen Beitrag zu verfassen. „Der Dekkert ist eben zu sehr verbrannt...!“</w:t>
      </w: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2"/>
          <w:szCs w:val="22"/>
        </w:rPr>
      </w:pPr>
      <w:r>
        <w:rPr>
          <w:rFonts w:ascii="Arial" w:hAnsi="Arial" w:cs="Arial"/>
          <w:sz w:val="22"/>
          <w:szCs w:val="22"/>
          <w:u w:val="single"/>
        </w:rPr>
        <w:t xml:space="preserve">Volksbetrug: </w:t>
      </w:r>
      <w:r>
        <w:rPr>
          <w:rFonts w:ascii="Arial" w:hAnsi="Arial" w:cs="Arial"/>
          <w:sz w:val="22"/>
          <w:szCs w:val="22"/>
        </w:rPr>
        <w:t xml:space="preserve">„ESM“ kann jetzt auch Steuergelder DIREKT an Banken „verschenken“... –  Europas größte Banken </w:t>
      </w:r>
      <w:r>
        <w:rPr>
          <w:rFonts w:ascii="Arial" w:hAnsi="Arial" w:cs="Arial"/>
          <w:sz w:val="22"/>
          <w:szCs w:val="22"/>
          <w:u w:val="single"/>
        </w:rPr>
        <w:t>in Milliarden</w:t>
      </w:r>
      <w:r>
        <w:rPr>
          <w:rFonts w:ascii="Arial" w:hAnsi="Arial" w:cs="Arial"/>
          <w:sz w:val="22"/>
          <w:szCs w:val="22"/>
        </w:rPr>
        <w:t xml:space="preserve"> </w:t>
      </w:r>
      <w:r>
        <w:rPr>
          <w:rFonts w:ascii="Arial" w:hAnsi="Arial" w:cs="Arial"/>
          <w:sz w:val="22"/>
          <w:szCs w:val="22"/>
          <w:u w:val="single"/>
        </w:rPr>
        <w:t>EURO 2014</w:t>
      </w:r>
      <w:r>
        <w:rPr>
          <w:rFonts w:ascii="Arial" w:hAnsi="Arial" w:cs="Arial"/>
          <w:sz w:val="22"/>
          <w:szCs w:val="22"/>
        </w:rPr>
        <w:t>:</w:t>
      </w:r>
    </w:p>
    <w:p w:rsidR="00055B43" w:rsidRDefault="00055B43" w:rsidP="00055B43">
      <w:pPr>
        <w:pBdr>
          <w:bottom w:val="thinThickThinMediumGap" w:sz="18" w:space="1" w:color="auto"/>
        </w:pBdr>
        <w:rPr>
          <w:rFonts w:ascii="Arial" w:hAnsi="Arial" w:cs="Arial"/>
          <w:sz w:val="22"/>
          <w:szCs w:val="22"/>
        </w:rPr>
      </w:pPr>
      <w:r>
        <w:rPr>
          <w:rFonts w:ascii="Arial" w:hAnsi="Arial" w:cs="Arial"/>
          <w:sz w:val="22"/>
          <w:szCs w:val="22"/>
        </w:rPr>
        <w:t xml:space="preserve">HSBC/GB: 156, Banco Santander /Sp: 83; Lloyds Bank/ GB: 70, BNP Parisbas /F: 60, Royal Bak of Scotland/GB: 55, UBS /CH: 53, Banco Bilbao/Sp: 51, Barclays/GB: 49, ING Group /NL: 44, Nordea/S: 40, Intesa/It: 37, Crédit Suisse/CH: 34, </w:t>
      </w:r>
      <w:r>
        <w:rPr>
          <w:rFonts w:ascii="Arial" w:hAnsi="Arial" w:cs="Arial"/>
          <w:b/>
          <w:sz w:val="22"/>
          <w:szCs w:val="22"/>
        </w:rPr>
        <w:t>Dt.(?) Bank:</w:t>
      </w:r>
      <w:r>
        <w:rPr>
          <w:rFonts w:ascii="Arial" w:hAnsi="Arial" w:cs="Arial"/>
          <w:sz w:val="22"/>
          <w:szCs w:val="22"/>
        </w:rPr>
        <w:t xml:space="preserve"> 33, Uni Credit/It: 33.</w:t>
      </w:r>
    </w:p>
    <w:p w:rsidR="00055B43" w:rsidRDefault="00055B43" w:rsidP="00055B43">
      <w:pPr>
        <w:rPr>
          <w:rFonts w:ascii="Arial" w:hAnsi="Arial" w:cs="Arial"/>
          <w:sz w:val="22"/>
          <w:szCs w:val="22"/>
        </w:rPr>
      </w:pPr>
    </w:p>
    <w:p w:rsidR="00055B43" w:rsidRDefault="00055B43" w:rsidP="00055B43">
      <w:pPr>
        <w:jc w:val="both"/>
        <w:rPr>
          <w:rFonts w:ascii="Arial" w:hAnsi="Arial" w:cs="Arial"/>
          <w:sz w:val="22"/>
          <w:szCs w:val="22"/>
        </w:rPr>
      </w:pPr>
      <w:r>
        <w:rPr>
          <w:rFonts w:ascii="Arial" w:hAnsi="Arial" w:cs="Arial"/>
          <w:sz w:val="22"/>
          <w:szCs w:val="22"/>
        </w:rPr>
        <w:t xml:space="preserve">1093,1 Mrd Euro betrug der Wert der deutschen. Ausfuhren 2013. Nach Abzug der Einfuhren lag der Ausfuhrüberschuß bei 195 Mrd. Der größte Teil = rd. 40 Mrd. geht auf das Konto der USA.  </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t xml:space="preserve">Quelle: </w:t>
      </w:r>
      <w:hyperlink r:id="rId11" w:history="1">
        <w:r>
          <w:rPr>
            <w:rStyle w:val="Hyperlink"/>
            <w:rFonts w:ascii="Arial" w:hAnsi="Arial" w:cs="Arial"/>
            <w:sz w:val="22"/>
            <w:szCs w:val="22"/>
          </w:rPr>
          <w:t>www.destatis.de</w:t>
        </w:r>
      </w:hyperlink>
      <w:r>
        <w:rPr>
          <w:rFonts w:ascii="Arial" w:hAnsi="Arial" w:cs="Arial"/>
          <w:sz w:val="22"/>
          <w:szCs w:val="22"/>
        </w:rPr>
        <w:t>,  Wiesbaden.</w:t>
      </w:r>
    </w:p>
    <w:p w:rsidR="00055B43" w:rsidRDefault="00055B43" w:rsidP="00055B43">
      <w:pPr>
        <w:jc w:val="both"/>
        <w:rPr>
          <w:rFonts w:ascii="Arial" w:hAnsi="Arial" w:cs="Arial"/>
          <w:sz w:val="22"/>
          <w:szCs w:val="22"/>
        </w:rPr>
      </w:pP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b/>
          <w:sz w:val="22"/>
          <w:szCs w:val="22"/>
        </w:rPr>
        <w:t xml:space="preserve">Zwei Billionen EURO Schulden! – </w:t>
      </w:r>
      <w:r>
        <w:rPr>
          <w:rFonts w:ascii="Arial" w:hAnsi="Arial" w:cs="Arial"/>
          <w:sz w:val="22"/>
          <w:szCs w:val="22"/>
        </w:rPr>
        <w:t>Bund, Länder und Gemeinden  - die Extrahaushalte mit eingerechnet - die sog. öffentliche Hand,  stehen derzeit, so eine dpa-Meldung v. 20.9.14 aufgrund einer Veröffentlichung des Statist. Bundesamtes, mit etwas über 2 Billionen oder genauer mit 2044,2 Milliarden Euro (x 2 in etwa die Schulden in Mark!)  in der Kreide. Im Vergleich zum 1. Quartal 2014 waren das 4, 4 Mrd. EURO mehr.</w:t>
      </w:r>
    </w:p>
    <w:p w:rsidR="00055B43" w:rsidRDefault="00055B43" w:rsidP="00055B43">
      <w:pPr>
        <w:jc w:val="both"/>
        <w:rPr>
          <w:rFonts w:ascii="Arial" w:hAnsi="Arial" w:cs="Arial"/>
          <w:b/>
          <w:sz w:val="22"/>
          <w:szCs w:val="22"/>
        </w:rPr>
      </w:pPr>
    </w:p>
    <w:p w:rsidR="00055B43" w:rsidRDefault="00055B43" w:rsidP="00055B43">
      <w:pPr>
        <w:jc w:val="both"/>
        <w:rPr>
          <w:rFonts w:ascii="Arial" w:hAnsi="Arial" w:cs="Arial"/>
          <w:sz w:val="22"/>
          <w:szCs w:val="22"/>
        </w:rPr>
      </w:pPr>
      <w:r>
        <w:rPr>
          <w:rFonts w:ascii="Arial" w:hAnsi="Arial" w:cs="Arial"/>
          <w:b/>
          <w:sz w:val="22"/>
          <w:szCs w:val="22"/>
        </w:rPr>
        <w:t xml:space="preserve">DAX fest in </w:t>
      </w:r>
      <w:r>
        <w:rPr>
          <w:rFonts w:ascii="Arial" w:hAnsi="Arial" w:cs="Arial"/>
          <w:b/>
          <w:sz w:val="22"/>
          <w:szCs w:val="22"/>
          <w:u w:val="single"/>
        </w:rPr>
        <w:t xml:space="preserve">ausländischer </w:t>
      </w:r>
      <w:r>
        <w:rPr>
          <w:rFonts w:ascii="Arial" w:hAnsi="Arial" w:cs="Arial"/>
          <w:b/>
          <w:sz w:val="22"/>
          <w:szCs w:val="22"/>
        </w:rPr>
        <w:t>Hand!!!</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t>Hier einige Beispiele in %: 1) BASF: GB/Irland 10, restliches Europa 18, Nordamerika (USA + Kanada) 16, Sonstige weltweit 20 und D 36 – 2) MERCK (Pharma-Erzeugnisse): GB/ Irland 18, restl. Europa 18, Nordamerika 43, Sonstige weltweit 14, D 11 – 3) HeidelbergCement: GB/Irland 15, restliches Europa 13, Sonstige ... 13, Nordamerika 26, D 33 – 4) SAP (IT/Programmentwickler, Walldorf, Baden):  GB/Irland 15, restliches Europa 14, Sonstige ... 20, Nordamerika 18, D 33.</w:t>
      </w: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2"/>
          <w:szCs w:val="22"/>
        </w:rPr>
      </w:pPr>
      <w:r>
        <w:rPr>
          <w:rFonts w:ascii="Arial" w:hAnsi="Arial" w:cs="Arial"/>
          <w:sz w:val="22"/>
          <w:szCs w:val="22"/>
        </w:rPr>
        <w:t>NUR ein  griechisches Problem?</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b/>
          <w:sz w:val="22"/>
          <w:szCs w:val="22"/>
        </w:rPr>
        <w:t>Verschuldung in der TEURO-Zone in %</w:t>
      </w:r>
      <w:r>
        <w:rPr>
          <w:rFonts w:ascii="Arial" w:hAnsi="Arial" w:cs="Arial"/>
          <w:sz w:val="22"/>
          <w:szCs w:val="22"/>
        </w:rPr>
        <w:t xml:space="preserve"> </w:t>
      </w:r>
      <w:r>
        <w:rPr>
          <w:rFonts w:ascii="Arial" w:hAnsi="Arial" w:cs="Arial"/>
          <w:b/>
          <w:sz w:val="22"/>
          <w:szCs w:val="22"/>
        </w:rPr>
        <w:t>des BIP</w:t>
      </w:r>
      <w:r>
        <w:rPr>
          <w:rFonts w:ascii="Arial" w:hAnsi="Arial" w:cs="Arial"/>
          <w:sz w:val="22"/>
          <w:szCs w:val="22"/>
        </w:rPr>
        <w:t xml:space="preserve"> (Brutto-Inlands-Produkt = Erzeugung aller „Güter“, also auch von Wertpapieren...). Die erste Zahl steht für 2015, die zweite für 2013. – 1) Griechenland 172, 4 zu 175, 6; 2) 2) Italien: 133, 9 zu 128, 1 (in Italien regiert seit einiger Zeit ein Sozi), 3) Portugal 124, 8 zu 123, 5; 4) Irland: 120, 4 zu 122, 2; 5) Spaniern: 103, 8 zu 95, 8; Frankreich: 96, 6 zu 93, 5 – dort regieren wieder „Sozis“!; „brddr“: 73, 6 zu 78, 4. Leider fehlen im dpa-Artikel (MM/WN v. 28.6.14) die Zahlen für Dt.-Österreich und die Niederlande. – ZEW-Präsident (*) Fuest schägt daher eine Insolvenzordnung für gewisse Staaten vor ... (*) </w:t>
      </w:r>
      <w:r>
        <w:rPr>
          <w:rFonts w:ascii="Arial" w:hAnsi="Arial" w:cs="Arial"/>
          <w:b/>
          <w:sz w:val="22"/>
          <w:szCs w:val="22"/>
        </w:rPr>
        <w:t>ZEW</w:t>
      </w:r>
      <w:r>
        <w:rPr>
          <w:rFonts w:ascii="Arial" w:hAnsi="Arial" w:cs="Arial"/>
          <w:sz w:val="22"/>
          <w:szCs w:val="22"/>
        </w:rPr>
        <w:t xml:space="preserve"> = Zentrum für europ. Wirtschaftsforschung.</w:t>
      </w: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2"/>
          <w:szCs w:val="22"/>
        </w:rPr>
      </w:pPr>
      <w:r>
        <w:rPr>
          <w:rFonts w:ascii="Arial" w:hAnsi="Arial" w:cs="Arial"/>
          <w:b/>
          <w:sz w:val="22"/>
          <w:szCs w:val="22"/>
        </w:rPr>
        <w:t>Asylanntenkosten BERLIN</w:t>
      </w:r>
      <w:r>
        <w:rPr>
          <w:rFonts w:ascii="Arial" w:hAnsi="Arial" w:cs="Arial"/>
          <w:sz w:val="22"/>
          <w:szCs w:val="22"/>
        </w:rPr>
        <w:t xml:space="preserve"> – </w:t>
      </w:r>
      <w:r>
        <w:rPr>
          <w:rFonts w:ascii="Arial" w:hAnsi="Arial" w:cs="Arial"/>
          <w:b/>
          <w:sz w:val="22"/>
          <w:szCs w:val="22"/>
        </w:rPr>
        <w:t>2011:</w:t>
      </w:r>
      <w:r>
        <w:rPr>
          <w:rFonts w:ascii="Arial" w:hAnsi="Arial" w:cs="Arial"/>
          <w:sz w:val="22"/>
          <w:szCs w:val="22"/>
        </w:rPr>
        <w:t xml:space="preserve"> 13.193.582 €, </w:t>
      </w:r>
      <w:r>
        <w:rPr>
          <w:rFonts w:ascii="Arial" w:hAnsi="Arial" w:cs="Arial"/>
          <w:b/>
          <w:sz w:val="22"/>
          <w:szCs w:val="22"/>
        </w:rPr>
        <w:t>2012:</w:t>
      </w:r>
      <w:r>
        <w:rPr>
          <w:rFonts w:ascii="Arial" w:hAnsi="Arial" w:cs="Arial"/>
          <w:sz w:val="22"/>
          <w:szCs w:val="22"/>
        </w:rPr>
        <w:t xml:space="preserve"> 22.184.769, </w:t>
      </w:r>
      <w:r>
        <w:rPr>
          <w:rFonts w:ascii="Arial" w:hAnsi="Arial" w:cs="Arial"/>
          <w:b/>
          <w:sz w:val="22"/>
          <w:szCs w:val="22"/>
        </w:rPr>
        <w:t>2013:</w:t>
      </w:r>
      <w:r>
        <w:rPr>
          <w:rFonts w:ascii="Arial" w:hAnsi="Arial" w:cs="Arial"/>
          <w:sz w:val="22"/>
          <w:szCs w:val="22"/>
        </w:rPr>
        <w:t xml:space="preserve"> 49.483.531, 2014 zum 30. Juni: 90.000.000 --- </w:t>
      </w:r>
      <w:r>
        <w:rPr>
          <w:rFonts w:ascii="Arial" w:hAnsi="Arial" w:cs="Arial"/>
          <w:b/>
          <w:sz w:val="22"/>
          <w:szCs w:val="22"/>
        </w:rPr>
        <w:t xml:space="preserve">2013 </w:t>
      </w:r>
      <w:r>
        <w:rPr>
          <w:rFonts w:ascii="Arial" w:hAnsi="Arial" w:cs="Arial"/>
          <w:sz w:val="22"/>
          <w:szCs w:val="22"/>
        </w:rPr>
        <w:t xml:space="preserve">im Bund angeblich 1, 3 Milliarden €!!! --- </w:t>
      </w:r>
      <w:r>
        <w:rPr>
          <w:rFonts w:ascii="Arial" w:hAnsi="Arial" w:cs="Arial"/>
          <w:b/>
          <w:sz w:val="22"/>
          <w:szCs w:val="22"/>
        </w:rPr>
        <w:t>OHNE WORTE</w:t>
      </w:r>
      <w:r>
        <w:rPr>
          <w:rFonts w:ascii="Arial" w:hAnsi="Arial" w:cs="Arial"/>
          <w:sz w:val="22"/>
          <w:szCs w:val="22"/>
        </w:rPr>
        <w:t xml:space="preserve"> oder doch ....</w:t>
      </w:r>
    </w:p>
    <w:p w:rsidR="00055B43" w:rsidRDefault="00055B43" w:rsidP="00055B43">
      <w:pPr>
        <w:jc w:val="both"/>
        <w:rPr>
          <w:rFonts w:ascii="Arial" w:hAnsi="Arial" w:cs="Arial"/>
          <w:sz w:val="22"/>
          <w:szCs w:val="22"/>
        </w:rPr>
      </w:pPr>
    </w:p>
    <w:p w:rsidR="00055B43" w:rsidRDefault="00055B43" w:rsidP="00055B43">
      <w:pPr>
        <w:pBdr>
          <w:bottom w:val="thinThickThinMediumGap" w:sz="18" w:space="1" w:color="auto"/>
        </w:pBdr>
        <w:jc w:val="both"/>
        <w:rPr>
          <w:rFonts w:ascii="Arial" w:hAnsi="Arial" w:cs="Arial"/>
          <w:sz w:val="22"/>
          <w:szCs w:val="22"/>
        </w:rPr>
      </w:pPr>
    </w:p>
    <w:p w:rsidR="00055B43" w:rsidRDefault="00055B43" w:rsidP="00055B43">
      <w:pPr>
        <w:jc w:val="both"/>
        <w:rPr>
          <w:rFonts w:ascii="Arial" w:hAnsi="Arial" w:cs="Arial"/>
          <w:sz w:val="22"/>
          <w:szCs w:val="22"/>
        </w:rPr>
      </w:pP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t>Veröffentlichung des Statist. Bundesamtes, mit etwas über 2 Billionen oder genauer mit 2044,2 Milliarden Euro (x 2 in etwa die Schulden in Mark!)  in der Kreide. Im Vergleich zum 1. Quartal 2014 waren das 4, 4 Mrd. EURO mehr.</w:t>
      </w:r>
    </w:p>
    <w:p w:rsidR="00055B43" w:rsidRDefault="00055B43" w:rsidP="00055B43">
      <w:pPr>
        <w:jc w:val="both"/>
        <w:rPr>
          <w:rFonts w:ascii="Arial" w:hAnsi="Arial" w:cs="Arial"/>
          <w:b/>
          <w:sz w:val="22"/>
          <w:szCs w:val="22"/>
        </w:rPr>
      </w:pPr>
    </w:p>
    <w:p w:rsidR="00055B43" w:rsidRDefault="00055B43" w:rsidP="00055B43">
      <w:pPr>
        <w:jc w:val="both"/>
        <w:rPr>
          <w:rFonts w:ascii="Arial" w:hAnsi="Arial" w:cs="Arial"/>
          <w:sz w:val="22"/>
          <w:szCs w:val="22"/>
        </w:rPr>
      </w:pPr>
      <w:r>
        <w:rPr>
          <w:rFonts w:ascii="Arial" w:hAnsi="Arial" w:cs="Arial"/>
          <w:b/>
          <w:sz w:val="22"/>
          <w:szCs w:val="22"/>
        </w:rPr>
        <w:t xml:space="preserve">DAX fest in </w:t>
      </w:r>
      <w:r>
        <w:rPr>
          <w:rFonts w:ascii="Arial" w:hAnsi="Arial" w:cs="Arial"/>
          <w:b/>
          <w:sz w:val="22"/>
          <w:szCs w:val="22"/>
          <w:u w:val="single"/>
        </w:rPr>
        <w:t xml:space="preserve">ausländischer </w:t>
      </w:r>
      <w:r>
        <w:rPr>
          <w:rFonts w:ascii="Arial" w:hAnsi="Arial" w:cs="Arial"/>
          <w:b/>
          <w:sz w:val="22"/>
          <w:szCs w:val="22"/>
        </w:rPr>
        <w:t>Hand!!!</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sz w:val="22"/>
          <w:szCs w:val="22"/>
        </w:rPr>
        <w:lastRenderedPageBreak/>
        <w:t>Hier einige Beispiele in %: 1) BASF: GB/Irland 10, restliches Europa 18, Nordamerika (USA + Kanada) 16, Sonstige weltweit 20 und D 36 – 2) MERCK (Pharma-Erzeugnisse): GB/ Irland 18, restl. Europa 18, Nordamerika 43, Sonstige weltweit 14, D 11 – 3) HeidelbergCement: GB/Irland 15, restliches Europa 13, Sonstige ... 13, Nordamerika 26, D 33 – 4) SAP (IT/Programmentwickler, Walldorf, Baden):  GB/Irland 15, restliches Europa 14, Sonstige ... 20, Nordamerika 18, D 33.</w:t>
      </w: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2"/>
          <w:szCs w:val="22"/>
        </w:rPr>
      </w:pPr>
      <w:r>
        <w:rPr>
          <w:rFonts w:ascii="Arial" w:hAnsi="Arial" w:cs="Arial"/>
          <w:sz w:val="22"/>
          <w:szCs w:val="22"/>
        </w:rPr>
        <w:t>NUR ein  griechisches Problem?</w:t>
      </w:r>
    </w:p>
    <w:p w:rsidR="00055B43" w:rsidRDefault="00055B43" w:rsidP="00055B43">
      <w:pPr>
        <w:pBdr>
          <w:bottom w:val="thinThickThinMediumGap" w:sz="18" w:space="1" w:color="auto"/>
        </w:pBdr>
        <w:jc w:val="both"/>
        <w:rPr>
          <w:rFonts w:ascii="Arial" w:hAnsi="Arial" w:cs="Arial"/>
          <w:sz w:val="22"/>
          <w:szCs w:val="22"/>
        </w:rPr>
      </w:pPr>
      <w:r>
        <w:rPr>
          <w:rFonts w:ascii="Arial" w:hAnsi="Arial" w:cs="Arial"/>
          <w:b/>
          <w:sz w:val="22"/>
          <w:szCs w:val="22"/>
        </w:rPr>
        <w:t>Verschuldung in der TEURO-Zone in %</w:t>
      </w:r>
      <w:r>
        <w:rPr>
          <w:rFonts w:ascii="Arial" w:hAnsi="Arial" w:cs="Arial"/>
          <w:sz w:val="22"/>
          <w:szCs w:val="22"/>
        </w:rPr>
        <w:t xml:space="preserve"> </w:t>
      </w:r>
      <w:r>
        <w:rPr>
          <w:rFonts w:ascii="Arial" w:hAnsi="Arial" w:cs="Arial"/>
          <w:b/>
          <w:sz w:val="22"/>
          <w:szCs w:val="22"/>
        </w:rPr>
        <w:t>des BIP</w:t>
      </w:r>
      <w:r>
        <w:rPr>
          <w:rFonts w:ascii="Arial" w:hAnsi="Arial" w:cs="Arial"/>
          <w:sz w:val="22"/>
          <w:szCs w:val="22"/>
        </w:rPr>
        <w:t xml:space="preserve"> (Brutto-Inlands-Produkt = Erzeugung aller „Güter“, also auch von Wertpapieren...). Die erste Zahl steht für 2015, die zweite für 2013. – 1) Griechenland 172, 4 zu 175, 6; 2) 2) Italien: 133, 9 zu 128, 1 (in Italien regiert seit einiger Zeit ein Sozi), 3) Portugal 124, 8 zu 123, 5; 4) Irland: 120, 4 zu 122, 2; 5) Spaniern: 103, 8 zu 95, 8; Frankreich: 96, 6 zu 93, 5 – dort regieren wieder „Sozis“!; „brddr“: 73, 6 zu 78, 4. Leider fehlen im dpa-Artikel (MM/WN v. 28.6.14) die Zahlen für Dt.-Österreich und die Niederlande. – ZEW-Präsident (*) Fuest schägt daher eine Insolvenzordnung für gewisse Staaten vor ... (*) </w:t>
      </w:r>
      <w:r>
        <w:rPr>
          <w:rFonts w:ascii="Arial" w:hAnsi="Arial" w:cs="Arial"/>
          <w:b/>
          <w:sz w:val="22"/>
          <w:szCs w:val="22"/>
        </w:rPr>
        <w:t>ZEW</w:t>
      </w:r>
      <w:r>
        <w:rPr>
          <w:rFonts w:ascii="Arial" w:hAnsi="Arial" w:cs="Arial"/>
          <w:sz w:val="22"/>
          <w:szCs w:val="22"/>
        </w:rPr>
        <w:t xml:space="preserve"> = Zentrum für europ. Wirtschaftsforschung.</w:t>
      </w:r>
    </w:p>
    <w:p w:rsidR="00055B43" w:rsidRDefault="00055B43" w:rsidP="00055B43">
      <w:pPr>
        <w:jc w:val="both"/>
        <w:rPr>
          <w:rFonts w:ascii="Arial" w:hAnsi="Arial" w:cs="Arial"/>
          <w:sz w:val="22"/>
          <w:szCs w:val="22"/>
        </w:rPr>
      </w:pPr>
    </w:p>
    <w:p w:rsidR="00055B43" w:rsidRDefault="00055B43" w:rsidP="00055B43">
      <w:pPr>
        <w:jc w:val="both"/>
        <w:rPr>
          <w:rFonts w:ascii="Arial" w:hAnsi="Arial" w:cs="Arial"/>
          <w:sz w:val="22"/>
          <w:szCs w:val="22"/>
        </w:rPr>
      </w:pPr>
      <w:r>
        <w:rPr>
          <w:rFonts w:ascii="Arial" w:hAnsi="Arial" w:cs="Arial"/>
          <w:b/>
          <w:sz w:val="22"/>
          <w:szCs w:val="22"/>
        </w:rPr>
        <w:t>Asylanntenkosten BERLIN</w:t>
      </w:r>
      <w:r>
        <w:rPr>
          <w:rFonts w:ascii="Arial" w:hAnsi="Arial" w:cs="Arial"/>
          <w:sz w:val="22"/>
          <w:szCs w:val="22"/>
        </w:rPr>
        <w:t xml:space="preserve"> – </w:t>
      </w:r>
      <w:r>
        <w:rPr>
          <w:rFonts w:ascii="Arial" w:hAnsi="Arial" w:cs="Arial"/>
          <w:b/>
          <w:sz w:val="22"/>
          <w:szCs w:val="22"/>
        </w:rPr>
        <w:t>2011:</w:t>
      </w:r>
      <w:r>
        <w:rPr>
          <w:rFonts w:ascii="Arial" w:hAnsi="Arial" w:cs="Arial"/>
          <w:sz w:val="22"/>
          <w:szCs w:val="22"/>
        </w:rPr>
        <w:t xml:space="preserve"> 13.193.582 €, </w:t>
      </w:r>
      <w:r>
        <w:rPr>
          <w:rFonts w:ascii="Arial" w:hAnsi="Arial" w:cs="Arial"/>
          <w:b/>
          <w:sz w:val="22"/>
          <w:szCs w:val="22"/>
        </w:rPr>
        <w:t>2012:</w:t>
      </w:r>
      <w:r>
        <w:rPr>
          <w:rFonts w:ascii="Arial" w:hAnsi="Arial" w:cs="Arial"/>
          <w:sz w:val="22"/>
          <w:szCs w:val="22"/>
        </w:rPr>
        <w:t xml:space="preserve"> 22.184.769, </w:t>
      </w:r>
      <w:r>
        <w:rPr>
          <w:rFonts w:ascii="Arial" w:hAnsi="Arial" w:cs="Arial"/>
          <w:b/>
          <w:sz w:val="22"/>
          <w:szCs w:val="22"/>
        </w:rPr>
        <w:t>2013:</w:t>
      </w:r>
      <w:r>
        <w:rPr>
          <w:rFonts w:ascii="Arial" w:hAnsi="Arial" w:cs="Arial"/>
          <w:sz w:val="22"/>
          <w:szCs w:val="22"/>
        </w:rPr>
        <w:t xml:space="preserve"> 49.483.531, 2014 zum 30. Juni: 90.000.000 --- </w:t>
      </w:r>
      <w:r>
        <w:rPr>
          <w:rFonts w:ascii="Arial" w:hAnsi="Arial" w:cs="Arial"/>
          <w:b/>
          <w:sz w:val="22"/>
          <w:szCs w:val="22"/>
        </w:rPr>
        <w:t xml:space="preserve">2013 </w:t>
      </w:r>
      <w:r>
        <w:rPr>
          <w:rFonts w:ascii="Arial" w:hAnsi="Arial" w:cs="Arial"/>
          <w:sz w:val="22"/>
          <w:szCs w:val="22"/>
        </w:rPr>
        <w:t xml:space="preserve">im Bund angeblich 1, 3 Milliarden €!!! --- </w:t>
      </w:r>
      <w:r>
        <w:rPr>
          <w:rFonts w:ascii="Arial" w:hAnsi="Arial" w:cs="Arial"/>
          <w:b/>
          <w:sz w:val="22"/>
          <w:szCs w:val="22"/>
        </w:rPr>
        <w:t>OHNE WORTE</w:t>
      </w:r>
      <w:r>
        <w:rPr>
          <w:rFonts w:ascii="Arial" w:hAnsi="Arial" w:cs="Arial"/>
          <w:sz w:val="22"/>
          <w:szCs w:val="22"/>
        </w:rPr>
        <w:t xml:space="preserve"> oder doch ....</w:t>
      </w:r>
    </w:p>
    <w:p w:rsidR="00055B43" w:rsidRDefault="00055B43" w:rsidP="00055B43">
      <w:pPr>
        <w:jc w:val="both"/>
        <w:rPr>
          <w:rFonts w:ascii="Arial" w:hAnsi="Arial" w:cs="Arial"/>
          <w:sz w:val="22"/>
          <w:szCs w:val="22"/>
        </w:rPr>
      </w:pPr>
    </w:p>
    <w:p w:rsidR="00055B43" w:rsidRDefault="00055B43"/>
    <w:sectPr w:rsidR="00055B43" w:rsidSect="0099510A">
      <w:pgSz w:w="11906" w:h="16838" w:code="9"/>
      <w:pgMar w:top="397" w:right="567" w:bottom="39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ranklin Gothic Book">
    <w:altName w:val="Times New Roman"/>
    <w:charset w:val="00"/>
    <w:family w:val="auto"/>
    <w:pitch w:val="default"/>
  </w:font>
  <w:font w:name="LucidaCalligraphy">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687BE1"/>
    <w:multiLevelType w:val="hybridMultilevel"/>
    <w:tmpl w:val="4D669CDC"/>
    <w:lvl w:ilvl="0" w:tplc="04070011">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B43"/>
    <w:rsid w:val="00055B43"/>
    <w:rsid w:val="00485A1D"/>
    <w:rsid w:val="00B1140E"/>
    <w:rsid w:val="00C36949"/>
    <w:rsid w:val="00E0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6F9318-F15B-4E0D-B27D-C37A57F55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B43"/>
    <w:pPr>
      <w:spacing w:after="0"/>
    </w:pPr>
    <w:rPr>
      <w:rFonts w:ascii="Times New Roman" w:eastAsia="Times New Roman" w:hAnsi="Times New Roman" w:cs="Times New Roman"/>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55B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87054">
      <w:bodyDiv w:val="1"/>
      <w:marLeft w:val="0"/>
      <w:marRight w:val="0"/>
      <w:marTop w:val="0"/>
      <w:marBottom w:val="0"/>
      <w:divBdr>
        <w:top w:val="none" w:sz="0" w:space="0" w:color="auto"/>
        <w:left w:val="none" w:sz="0" w:space="0" w:color="auto"/>
        <w:bottom w:val="none" w:sz="0" w:space="0" w:color="auto"/>
        <w:right w:val="none" w:sz="0" w:space="0" w:color="auto"/>
      </w:divBdr>
    </w:div>
    <w:div w:id="40374039">
      <w:bodyDiv w:val="1"/>
      <w:marLeft w:val="0"/>
      <w:marRight w:val="0"/>
      <w:marTop w:val="0"/>
      <w:marBottom w:val="0"/>
      <w:divBdr>
        <w:top w:val="none" w:sz="0" w:space="0" w:color="auto"/>
        <w:left w:val="none" w:sz="0" w:space="0" w:color="auto"/>
        <w:bottom w:val="none" w:sz="0" w:space="0" w:color="auto"/>
        <w:right w:val="none" w:sz="0" w:space="0" w:color="auto"/>
      </w:divBdr>
    </w:div>
    <w:div w:id="486017874">
      <w:bodyDiv w:val="1"/>
      <w:marLeft w:val="0"/>
      <w:marRight w:val="0"/>
      <w:marTop w:val="0"/>
      <w:marBottom w:val="0"/>
      <w:divBdr>
        <w:top w:val="none" w:sz="0" w:space="0" w:color="auto"/>
        <w:left w:val="none" w:sz="0" w:space="0" w:color="auto"/>
        <w:bottom w:val="none" w:sz="0" w:space="0" w:color="auto"/>
        <w:right w:val="none" w:sz="0" w:space="0" w:color="auto"/>
      </w:divBdr>
    </w:div>
    <w:div w:id="677776773">
      <w:bodyDiv w:val="1"/>
      <w:marLeft w:val="0"/>
      <w:marRight w:val="0"/>
      <w:marTop w:val="0"/>
      <w:marBottom w:val="0"/>
      <w:divBdr>
        <w:top w:val="none" w:sz="0" w:space="0" w:color="auto"/>
        <w:left w:val="none" w:sz="0" w:space="0" w:color="auto"/>
        <w:bottom w:val="none" w:sz="0" w:space="0" w:color="auto"/>
        <w:right w:val="none" w:sz="0" w:space="0" w:color="auto"/>
      </w:divBdr>
    </w:div>
    <w:div w:id="867529662">
      <w:bodyDiv w:val="1"/>
      <w:marLeft w:val="0"/>
      <w:marRight w:val="0"/>
      <w:marTop w:val="0"/>
      <w:marBottom w:val="0"/>
      <w:divBdr>
        <w:top w:val="none" w:sz="0" w:space="0" w:color="auto"/>
        <w:left w:val="none" w:sz="0" w:space="0" w:color="auto"/>
        <w:bottom w:val="none" w:sz="0" w:space="0" w:color="auto"/>
        <w:right w:val="none" w:sz="0" w:space="0" w:color="auto"/>
      </w:divBdr>
    </w:div>
    <w:div w:id="209724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enterdeckert.d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uenter.Deckert@gmx.d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uenter.Deckert@gmx.de" TargetMode="External"/><Relationship Id="rId11" Type="http://schemas.openxmlformats.org/officeDocument/2006/relationships/hyperlink" Target="http://www.destatis.de/" TargetMode="External"/><Relationship Id="rId5" Type="http://schemas.openxmlformats.org/officeDocument/2006/relationships/hyperlink" Target="http://www.guenterdeckert.de/" TargetMode="External"/><Relationship Id="rId10" Type="http://schemas.openxmlformats.org/officeDocument/2006/relationships/hyperlink" Target="http://www.bmi.bund.de/SharedDocs/Pressemitteilungen/DE/2014/12(saylantr&#228;ge" TargetMode="External"/><Relationship Id="rId4" Type="http://schemas.openxmlformats.org/officeDocument/2006/relationships/webSettings" Target="webSettings.xml"/><Relationship Id="rId9" Type="http://schemas.openxmlformats.org/officeDocument/2006/relationships/hyperlink" Target="http://www.bmi.bund.de/SharedDocs/Pressemitteilungen/DE/2014/12(saylantr&#228;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2882</Words>
  <Characters>16431</Characters>
  <Application>Microsoft Office Word</Application>
  <DocSecurity>0</DocSecurity>
  <Lines>136</Lines>
  <Paragraphs>38</Paragraphs>
  <ScaleCrop>false</ScaleCrop>
  <Company/>
  <LinksUpToDate>false</LinksUpToDate>
  <CharactersWithSpaces>19275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dc:creator>
  <cp:keywords/>
  <dc:description/>
  <cp:lastModifiedBy>TW</cp:lastModifiedBy>
  <cp:revision>2</cp:revision>
  <dcterms:created xsi:type="dcterms:W3CDTF">2014-12-26T07:17:00Z</dcterms:created>
  <dcterms:modified xsi:type="dcterms:W3CDTF">2014-12-26T07:17:00Z</dcterms:modified>
</cp:coreProperties>
</file>