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25D" w:rsidRDefault="004B1C37" w:rsidP="0076425D">
      <w:pPr>
        <w:pStyle w:val="NormalWeb"/>
        <w:spacing w:line="315" w:lineRule="atLeast"/>
        <w:rPr>
          <w:rStyle w:val="apple-converted-space"/>
          <w:rFonts w:ascii="Arial" w:eastAsiaTheme="majorEastAsia" w:hAnsi="Arial" w:cs="Arial"/>
          <w:color w:val="403C4E"/>
          <w:sz w:val="21"/>
          <w:szCs w:val="21"/>
          <w:lang w:val="de-DE"/>
        </w:rPr>
      </w:pPr>
      <w:r w:rsidRPr="0076425D">
        <w:rPr>
          <w:rFonts w:asciiTheme="minorHAnsi" w:hAnsiTheme="minorHAnsi"/>
          <w:lang w:val="de-DE"/>
        </w:rPr>
        <w:t xml:space="preserve"> </w:t>
      </w:r>
      <w:r w:rsidR="0076425D" w:rsidRPr="0076425D">
        <w:rPr>
          <w:rStyle w:val="marker"/>
          <w:rFonts w:ascii="Arial" w:eastAsiaTheme="majorEastAsia" w:hAnsi="Arial" w:cs="Arial"/>
          <w:b/>
          <w:bCs/>
          <w:color w:val="015958"/>
          <w:sz w:val="20"/>
          <w:szCs w:val="20"/>
          <w:lang w:val="de-DE"/>
        </w:rPr>
        <w:t>Nizer-Plan:</w:t>
      </w:r>
      <w:r w:rsidR="0076425D" w:rsidRPr="0076425D">
        <w:rPr>
          <w:rStyle w:val="apple-converted-space"/>
          <w:rFonts w:ascii="Arial" w:eastAsiaTheme="majorEastAsia" w:hAnsi="Arial" w:cs="Arial"/>
          <w:color w:val="403C4E"/>
          <w:sz w:val="21"/>
          <w:szCs w:val="21"/>
          <w:lang w:val="de-DE"/>
        </w:rPr>
        <w:t> </w:t>
      </w:r>
    </w:p>
    <w:p w:rsidR="0076425D" w:rsidRDefault="0076425D" w:rsidP="0076425D">
      <w:pPr>
        <w:pStyle w:val="NormalWeb"/>
        <w:spacing w:line="315" w:lineRule="atLeast"/>
      </w:pPr>
      <w:hyperlink r:id="rId4" w:history="1">
        <w:r w:rsidRPr="0076425D">
          <w:rPr>
            <w:rStyle w:val="Hyperlink"/>
            <w:rFonts w:eastAsiaTheme="majorEastAsia"/>
            <w:lang w:val="de-DE"/>
          </w:rPr>
          <w:t>http://histor.ws/kontrovers/themen.php?a=4</w:t>
        </w:r>
      </w:hyperlink>
    </w:p>
    <w:p w:rsidR="0076425D" w:rsidRPr="0076425D" w:rsidRDefault="0076425D" w:rsidP="0076425D">
      <w:pPr>
        <w:pStyle w:val="NormalWeb"/>
        <w:spacing w:line="315" w:lineRule="atLeast"/>
        <w:rPr>
          <w:rFonts w:ascii="Arial" w:hAnsi="Arial" w:cs="Arial"/>
          <w:color w:val="403C4E"/>
          <w:sz w:val="21"/>
          <w:szCs w:val="21"/>
          <w:lang w:val="de-DE"/>
        </w:rPr>
      </w:pPr>
      <w:r>
        <w:rPr>
          <w:rFonts w:ascii="Arial" w:hAnsi="Arial" w:cs="Arial"/>
          <w:color w:val="403C4E"/>
          <w:sz w:val="21"/>
          <w:szCs w:val="21"/>
          <w:lang w:val="de-DE"/>
        </w:rPr>
        <w:t xml:space="preserve">Nizer Plan: </w:t>
      </w:r>
      <w:r w:rsidRPr="0076425D">
        <w:rPr>
          <w:rFonts w:ascii="Arial" w:hAnsi="Arial" w:cs="Arial"/>
          <w:color w:val="403C4E"/>
          <w:sz w:val="21"/>
          <w:szCs w:val="21"/>
          <w:lang w:val="de-DE"/>
        </w:rPr>
        <w:t>Weniger bekannt wurden weitere Pläne selber Gesinnung und Herkunft, deren gemeinsame Grundrichtung zweifellos Einfluß auf die Politik hatte. Der in London geborene jüd. Rechtsanwalt Louis Nizer (1902-1994) war Absolvent der Columbia-Juristenschule in den USA, wo er auch sein Leben verbrachte. Er war Mitbegründer einer Anwaltskanzlei in New York, einer bekannten Carnegie-Zeitschriftenreihe und Beirat in der Kommission für die US-Filmindustrie. Ebenfalls zufällig im Jahr 1944 legte er seinen Plan vor über die Zukunft Deutschlands.</w:t>
      </w:r>
      <w:r w:rsidRPr="0076425D">
        <w:rPr>
          <w:rFonts w:ascii="Arial" w:hAnsi="Arial" w:cs="Arial"/>
          <w:b/>
          <w:bCs/>
          <w:color w:val="403C4E"/>
          <w:sz w:val="21"/>
          <w:szCs w:val="21"/>
          <w:lang w:val="de-DE"/>
        </w:rPr>
        <w:t>(2)</w:t>
      </w:r>
      <w:r w:rsidRPr="0076425D">
        <w:rPr>
          <w:rFonts w:ascii="Arial" w:hAnsi="Arial" w:cs="Arial"/>
          <w:color w:val="403C4E"/>
          <w:sz w:val="21"/>
          <w:szCs w:val="21"/>
          <w:lang w:val="de-DE"/>
        </w:rPr>
        <w:t>Statt der Ausrottung wie bei Morgenthau nach dem in England gängigen Motto "</w:t>
      </w:r>
      <w:r w:rsidRPr="0076425D">
        <w:rPr>
          <w:rStyle w:val="zitat"/>
          <w:rFonts w:ascii="Arial" w:hAnsi="Arial" w:cs="Arial"/>
          <w:color w:val="770B49"/>
          <w:sz w:val="18"/>
          <w:szCs w:val="18"/>
          <w:lang w:val="de-DE"/>
        </w:rPr>
        <w:t>Rottet die deutschen Teufel aus</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(3)</w:t>
      </w:r>
      <w:r w:rsidRPr="0076425D">
        <w:rPr>
          <w:rStyle w:val="apple-converted-space"/>
          <w:rFonts w:ascii="Arial" w:eastAsiaTheme="majorEastAsia" w:hAnsi="Arial" w:cs="Arial"/>
          <w:color w:val="403C4E"/>
          <w:sz w:val="21"/>
          <w:szCs w:val="21"/>
          <w:lang w:val="de-DE"/>
        </w:rPr>
        <w:t> </w:t>
      </w:r>
      <w:r w:rsidRPr="0076425D">
        <w:rPr>
          <w:rFonts w:ascii="Arial" w:hAnsi="Arial" w:cs="Arial"/>
          <w:color w:val="403C4E"/>
          <w:sz w:val="21"/>
          <w:szCs w:val="21"/>
          <w:lang w:val="de-DE"/>
        </w:rPr>
        <w:t>befürwortete Nizer eine "politische Besetzung" des Kriegsverlierers. Dies durch Umerziehung, speziell durch staatliche Schulen, ferner durch Hinrichtung Zehntausender sowie lebenslange Haft und Zwangsarbeit für hundertausende Deutsche. Seine Karriere im öffentlichen Leben und die Nähe seiner Ideen zu dem, was tatsächlich vollbracht wurde, scheint nahezulegen, daß der politisch unbekannte Nizer mehr als Morgenthau die Leitlinien der alliierten Nachkriegspolitik prägen konnte.</w:t>
      </w:r>
      <w:r w:rsidRPr="0076425D">
        <w:rPr>
          <w:rFonts w:ascii="Arial" w:hAnsi="Arial" w:cs="Arial"/>
          <w:color w:val="403C4E"/>
          <w:sz w:val="21"/>
          <w:szCs w:val="21"/>
          <w:lang w:val="de-DE"/>
        </w:rPr>
        <w:br/>
        <w:t>Sein Buch dient derzeit als universitäres Studien-Beispiel für den ideologischen Mißbrauch von Geschichte durch verfälschende Interpretation.</w:t>
      </w:r>
      <w:r w:rsidRPr="0076425D">
        <w:rPr>
          <w:rFonts w:ascii="Arial" w:hAnsi="Arial" w:cs="Arial"/>
          <w:b/>
          <w:bCs/>
          <w:color w:val="403C4E"/>
          <w:sz w:val="21"/>
          <w:szCs w:val="21"/>
          <w:lang w:val="de-DE"/>
        </w:rPr>
        <w:t>(4)</w:t>
      </w:r>
      <w:r w:rsidRPr="0076425D">
        <w:rPr>
          <w:rStyle w:val="apple-converted-space"/>
          <w:rFonts w:ascii="Arial" w:eastAsiaTheme="majorEastAsia" w:hAnsi="Arial" w:cs="Arial"/>
          <w:color w:val="403C4E"/>
          <w:sz w:val="21"/>
          <w:szCs w:val="21"/>
          <w:lang w:val="de-DE"/>
        </w:rPr>
        <w:t> </w:t>
      </w:r>
      <w:r w:rsidRPr="0076425D">
        <w:rPr>
          <w:rFonts w:ascii="Arial" w:hAnsi="Arial" w:cs="Arial"/>
          <w:color w:val="403C4E"/>
          <w:sz w:val="21"/>
          <w:szCs w:val="21"/>
          <w:lang w:val="de-DE"/>
        </w:rPr>
        <w:t>Nizer verwendete eigenen völkischen Haß und einen Rückgriff auf antike Geschichte zur Begründung seiner Demontage-Pläne für Deutschland: "</w:t>
      </w:r>
      <w:r w:rsidRPr="0076425D">
        <w:rPr>
          <w:rStyle w:val="zitat"/>
          <w:rFonts w:ascii="Arial" w:hAnsi="Arial" w:cs="Arial"/>
          <w:color w:val="770B49"/>
          <w:sz w:val="18"/>
          <w:szCs w:val="18"/>
          <w:lang w:val="de-DE"/>
        </w:rPr>
        <w:t>Die Deutschen zerschlugen die lateinische Zivilisation In der Schlacht von Adrianopel 378 ... Sie machten Krieg zu ihrem Beruf. Wo sie hintraten, starb die Kultur ab. Sie plünderten Paris, Arras, Reims, Amiens, Tours, Bordeaux und dutzende anderer Städte. ... (Karl der Große) versuchte die Welt zu erobern ... da war Friedrich Barbarossa, der den Frieden erdolchte ... Die Lehre von der Welteroberung begann organische Formen anzunehmen. ... (Das deutsche Volk) ist durch den Wahnsinn hypnotisiert und folgt ihm mit brutalen Stiefeln ... ja, es gibt eine deutsche Verschwörung gegen den Weltfrieden und gegen jeden freien Menschen in jedem beliebigen Land</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(5)</w:t>
      </w:r>
      <w:r w:rsidRPr="0076425D">
        <w:rPr>
          <w:rFonts w:ascii="Arial" w:hAnsi="Arial" w:cs="Arial"/>
          <w:color w:val="403C4E"/>
          <w:sz w:val="21"/>
          <w:szCs w:val="21"/>
          <w:lang w:val="de-DE"/>
        </w:rPr>
        <w:br/>
        <w:t>Truman, Roosevelts Nachfolger als US-Präsident, war überzeugt, "</w:t>
      </w:r>
      <w:r w:rsidRPr="0076425D">
        <w:rPr>
          <w:rStyle w:val="zitat"/>
          <w:rFonts w:ascii="Arial" w:hAnsi="Arial" w:cs="Arial"/>
          <w:color w:val="770B49"/>
          <w:sz w:val="18"/>
          <w:szCs w:val="18"/>
          <w:lang w:val="de-DE"/>
        </w:rPr>
        <w:t>daß jeder Amerikaner dieses Buch lesen sollte</w:t>
      </w:r>
      <w:r w:rsidRPr="0076425D">
        <w:rPr>
          <w:rFonts w:ascii="Arial" w:hAnsi="Arial" w:cs="Arial"/>
          <w:color w:val="403C4E"/>
          <w:sz w:val="21"/>
          <w:szCs w:val="21"/>
          <w:lang w:val="de-DE"/>
        </w:rPr>
        <w:t>". Denn: "</w:t>
      </w:r>
      <w:r w:rsidRPr="0076425D">
        <w:rPr>
          <w:rStyle w:val="zitat"/>
          <w:rFonts w:ascii="Arial" w:hAnsi="Arial" w:cs="Arial"/>
          <w:color w:val="770B49"/>
          <w:sz w:val="18"/>
          <w:szCs w:val="18"/>
          <w:lang w:val="de-DE"/>
        </w:rPr>
        <w:t>Ich glaube, das Buch von Mr. Nizer ist bewundernswert. Natürlich stimme ich ihm aufrichtig zu ... Es ist die pangermanische Kraft, die permanent gebrochen werden muß, wenn die Welt für immer Frieden erfahren soll. Mr. Nizer hat eine klare Idee, wie das vollbracht werden sollte.</w:t>
      </w:r>
      <w:r w:rsidRPr="0076425D">
        <w:rPr>
          <w:rFonts w:ascii="Arial" w:hAnsi="Arial" w:cs="Arial"/>
          <w:color w:val="403C4E"/>
          <w:sz w:val="21"/>
          <w:szCs w:val="21"/>
          <w:lang w:val="de-DE"/>
        </w:rPr>
        <w:t>" Roosevelt hatte es ebenso wie das von Morgenthau bereits an die Mitglieder seines Regierungskabinetts verteilen lassen. Der spätere US-Präsident Eisenhower, damals Gouverneur im besetzten Deutschland, ließ Nizers Planungsbuch dann noch einmal in 100 Tsd. Exemplaren an seine Stabsoffiziere, vor allem im besetzten Deutschland verteilen.</w:t>
      </w:r>
    </w:p>
    <w:p w:rsidR="0076425D" w:rsidRPr="0076425D" w:rsidRDefault="0076425D" w:rsidP="0076425D">
      <w:pPr>
        <w:pStyle w:val="NormalWeb"/>
        <w:spacing w:line="315" w:lineRule="atLeast"/>
        <w:rPr>
          <w:rFonts w:ascii="Arial" w:hAnsi="Arial" w:cs="Arial"/>
          <w:color w:val="403C4E"/>
          <w:sz w:val="21"/>
          <w:szCs w:val="21"/>
          <w:lang w:val="de-DE"/>
        </w:rPr>
      </w:pPr>
      <w:r w:rsidRPr="0076425D">
        <w:rPr>
          <w:rStyle w:val="marker"/>
          <w:rFonts w:ascii="Arial" w:eastAsiaTheme="majorEastAsia" w:hAnsi="Arial" w:cs="Arial"/>
          <w:b/>
          <w:bCs/>
          <w:color w:val="015958"/>
          <w:sz w:val="20"/>
          <w:szCs w:val="20"/>
          <w:lang w:val="de-DE"/>
        </w:rPr>
        <w:t>Breites Spektrum:</w:t>
      </w:r>
      <w:r w:rsidRPr="0076425D">
        <w:rPr>
          <w:rStyle w:val="apple-converted-space"/>
          <w:rFonts w:ascii="Arial" w:eastAsiaTheme="majorEastAsia" w:hAnsi="Arial" w:cs="Arial"/>
          <w:color w:val="403C4E"/>
          <w:sz w:val="21"/>
          <w:szCs w:val="21"/>
          <w:lang w:val="de-DE"/>
        </w:rPr>
        <w:t> </w:t>
      </w:r>
      <w:r w:rsidRPr="0076425D">
        <w:rPr>
          <w:rFonts w:ascii="Arial" w:hAnsi="Arial" w:cs="Arial"/>
          <w:color w:val="403C4E"/>
          <w:sz w:val="21"/>
          <w:szCs w:val="21"/>
          <w:lang w:val="de-DE"/>
        </w:rPr>
        <w:t>Nizer ebensowenig wie Morgenthau können als Kuriositäten bewertet werden. Hiergegen spricht nicht nur ihre gesellschaftliche Position, sondern auch der in vielerlei anderen Belegen greifbare Meinungshintergrund ihrer Zeit.</w:t>
      </w:r>
      <w:r w:rsidRPr="0076425D">
        <w:rPr>
          <w:rFonts w:ascii="Arial" w:hAnsi="Arial" w:cs="Arial"/>
          <w:color w:val="403C4E"/>
          <w:sz w:val="21"/>
          <w:szCs w:val="21"/>
          <w:lang w:val="de-DE"/>
        </w:rPr>
        <w:br/>
      </w:r>
      <w:r>
        <w:rPr>
          <w:rFonts w:ascii="Arial" w:hAnsi="Arial" w:cs="Arial"/>
          <w:noProof/>
          <w:color w:val="403C4E"/>
          <w:sz w:val="21"/>
          <w:szCs w:val="21"/>
        </w:rPr>
        <w:drawing>
          <wp:inline distT="0" distB="0" distL="0" distR="0">
            <wp:extent cx="95250" cy="133350"/>
            <wp:effectExtent l="19050" t="0" r="0" b="0"/>
            <wp:docPr id="1" name="id5879917342681438" desc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879917342681438" descr="mark"/>
                    <pic:cNvPicPr>
                      <a:picLocks noChangeAspect="1" noChangeArrowheads="1"/>
                    </pic:cNvPicPr>
                  </pic:nvPicPr>
                  <pic:blipFill>
                    <a:blip r:embed="rId5"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6425D">
        <w:rPr>
          <w:rFonts w:ascii="Arial" w:hAnsi="Arial" w:cs="Arial"/>
          <w:color w:val="403C4E"/>
          <w:sz w:val="21"/>
          <w:szCs w:val="21"/>
          <w:lang w:val="de-DE"/>
        </w:rPr>
        <w:t>Der führende französische Historiker</w:t>
      </w:r>
      <w:r w:rsidRPr="0076425D">
        <w:rPr>
          <w:rStyle w:val="apple-converted-space"/>
          <w:rFonts w:ascii="Arial" w:eastAsiaTheme="majorEastAsia" w:hAnsi="Arial" w:cs="Arial"/>
          <w:color w:val="403C4E"/>
          <w:sz w:val="21"/>
          <w:szCs w:val="21"/>
          <w:lang w:val="de-DE"/>
        </w:rPr>
        <w:t> </w:t>
      </w:r>
      <w:r w:rsidRPr="0076425D">
        <w:rPr>
          <w:rFonts w:ascii="Arial" w:hAnsi="Arial" w:cs="Arial"/>
          <w:i/>
          <w:iCs/>
          <w:color w:val="403C4E"/>
          <w:sz w:val="21"/>
          <w:szCs w:val="21"/>
          <w:lang w:val="de-DE"/>
        </w:rPr>
        <w:t>1939</w:t>
      </w:r>
      <w:r w:rsidRPr="0076425D">
        <w:rPr>
          <w:rFonts w:ascii="Arial" w:hAnsi="Arial" w:cs="Arial"/>
          <w:color w:val="403C4E"/>
          <w:sz w:val="21"/>
          <w:szCs w:val="21"/>
          <w:lang w:val="de-DE"/>
        </w:rPr>
        <w:t>: "</w:t>
      </w:r>
      <w:r w:rsidRPr="0076425D">
        <w:rPr>
          <w:rStyle w:val="zitat"/>
          <w:rFonts w:ascii="Arial" w:hAnsi="Arial" w:cs="Arial"/>
          <w:color w:val="770B49"/>
          <w:sz w:val="18"/>
          <w:szCs w:val="18"/>
          <w:lang w:val="de-DE"/>
        </w:rPr>
        <w:t xml:space="preserve">Die Ursache des Krieges heißt die deutsche Einheit. Die deutsche Einheit ist der Feind. Wenn man die deutsche Einheit zerbricht, erreicht man das Wesentliche, und der ganze Rest - Gleichgewicht, Völkerrecht, Sicherheit der Grenzen kommt dann von selbst. Was man 1919 hätte tun müssen - was man übermorgen tun muß -, das ist nicht nur, das Deutschtum von außen aufzulösen, sondern es im </w:t>
      </w:r>
      <w:r w:rsidRPr="0076425D">
        <w:rPr>
          <w:rStyle w:val="zitat"/>
          <w:rFonts w:ascii="Arial" w:hAnsi="Arial" w:cs="Arial"/>
          <w:color w:val="770B49"/>
          <w:sz w:val="18"/>
          <w:szCs w:val="18"/>
          <w:lang w:val="de-DE"/>
        </w:rPr>
        <w:lastRenderedPageBreak/>
        <w:t>Inneren zerspalten, zerbrechen, aufteilen, die Verschiedenheit der Religion, des Geistes, der Natur, des Regimes benutzen, unterstützen, begünstigen durch Ungleichheit der Behandlung, endlich diesem zerstückelten Deutschland gegenüber ständige Interventionsmöglichkeiten offenhalten ...</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(6)</w:t>
      </w:r>
      <w:r w:rsidRPr="0076425D">
        <w:rPr>
          <w:rFonts w:ascii="Arial" w:hAnsi="Arial" w:cs="Arial"/>
          <w:color w:val="403C4E"/>
          <w:sz w:val="21"/>
          <w:szCs w:val="21"/>
          <w:lang w:val="de-DE"/>
        </w:rPr>
        <w:br/>
      </w:r>
      <w:r>
        <w:rPr>
          <w:rFonts w:ascii="Arial" w:hAnsi="Arial" w:cs="Arial"/>
          <w:noProof/>
          <w:color w:val="403C4E"/>
          <w:sz w:val="21"/>
          <w:szCs w:val="21"/>
        </w:rPr>
        <w:drawing>
          <wp:inline distT="0" distB="0" distL="0" distR="0">
            <wp:extent cx="95250" cy="133350"/>
            <wp:effectExtent l="19050" t="0" r="0" b="0"/>
            <wp:docPr id="2" name="id991674954071641" desc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991674954071641" descr="mark"/>
                    <pic:cNvPicPr>
                      <a:picLocks noChangeAspect="1" noChangeArrowheads="1"/>
                    </pic:cNvPicPr>
                  </pic:nvPicPr>
                  <pic:blipFill>
                    <a:blip r:embed="rId5"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6425D">
        <w:rPr>
          <w:rFonts w:ascii="Arial" w:hAnsi="Arial" w:cs="Arial"/>
          <w:color w:val="403C4E"/>
          <w:sz w:val="21"/>
          <w:szCs w:val="21"/>
          <w:lang w:val="de-DE"/>
        </w:rPr>
        <w:t>Der Staatssekretär im brit. Außenministerium, Lord Robert G. Vansittart (1881-1957) im Jahr</w:t>
      </w:r>
      <w:r w:rsidRPr="0076425D">
        <w:rPr>
          <w:rFonts w:ascii="Arial" w:hAnsi="Arial" w:cs="Arial"/>
          <w:i/>
          <w:iCs/>
          <w:color w:val="403C4E"/>
          <w:sz w:val="21"/>
          <w:szCs w:val="21"/>
          <w:lang w:val="de-DE"/>
        </w:rPr>
        <w:t>1941</w:t>
      </w:r>
      <w:r w:rsidRPr="0076425D">
        <w:rPr>
          <w:rFonts w:ascii="Arial" w:hAnsi="Arial" w:cs="Arial"/>
          <w:color w:val="403C4E"/>
          <w:sz w:val="21"/>
          <w:szCs w:val="21"/>
          <w:lang w:val="de-DE"/>
        </w:rPr>
        <w:t>: "</w:t>
      </w:r>
      <w:r w:rsidRPr="0076425D">
        <w:rPr>
          <w:rStyle w:val="zitat"/>
          <w:rFonts w:ascii="Arial" w:hAnsi="Arial" w:cs="Arial"/>
          <w:color w:val="770B49"/>
          <w:sz w:val="18"/>
          <w:szCs w:val="18"/>
          <w:lang w:val="de-DE"/>
        </w:rPr>
        <w:t>Hitler ist kein Zufall. Er ist das natürlichste Produkt einer Rasse, die von den frühesten Tagen der Geschichte an räuberisch und kriegslüstern war.</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(7)</w:t>
      </w:r>
      <w:r w:rsidRPr="0076425D">
        <w:rPr>
          <w:rFonts w:ascii="Arial" w:hAnsi="Arial" w:cs="Arial"/>
          <w:color w:val="403C4E"/>
          <w:sz w:val="21"/>
          <w:szCs w:val="21"/>
          <w:lang w:val="de-DE"/>
        </w:rPr>
        <w:br/>
      </w:r>
      <w:r>
        <w:rPr>
          <w:rFonts w:ascii="Arial" w:hAnsi="Arial" w:cs="Arial"/>
          <w:noProof/>
          <w:color w:val="403C4E"/>
          <w:sz w:val="21"/>
          <w:szCs w:val="21"/>
        </w:rPr>
        <w:drawing>
          <wp:inline distT="0" distB="0" distL="0" distR="0">
            <wp:extent cx="95250" cy="133350"/>
            <wp:effectExtent l="19050" t="0" r="0" b="0"/>
            <wp:docPr id="3" name="id13057693815790117" desc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13057693815790117" descr="mark"/>
                    <pic:cNvPicPr>
                      <a:picLocks noChangeAspect="1" noChangeArrowheads="1"/>
                    </pic:cNvPicPr>
                  </pic:nvPicPr>
                  <pic:blipFill>
                    <a:blip r:embed="rId5"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6425D">
        <w:rPr>
          <w:rFonts w:ascii="Arial" w:hAnsi="Arial" w:cs="Arial"/>
          <w:color w:val="403C4E"/>
          <w:sz w:val="21"/>
          <w:szCs w:val="21"/>
          <w:lang w:val="de-DE"/>
        </w:rPr>
        <w:t>Der kanad. Major W.B.Howell</w:t>
      </w:r>
      <w:r w:rsidRPr="0076425D">
        <w:rPr>
          <w:rStyle w:val="apple-converted-space"/>
          <w:rFonts w:ascii="Arial" w:eastAsiaTheme="majorEastAsia" w:hAnsi="Arial" w:cs="Arial"/>
          <w:color w:val="403C4E"/>
          <w:sz w:val="21"/>
          <w:szCs w:val="21"/>
          <w:lang w:val="de-DE"/>
        </w:rPr>
        <w:t> </w:t>
      </w:r>
      <w:r w:rsidRPr="0076425D">
        <w:rPr>
          <w:rFonts w:ascii="Arial" w:hAnsi="Arial" w:cs="Arial"/>
          <w:i/>
          <w:iCs/>
          <w:color w:val="403C4E"/>
          <w:sz w:val="21"/>
          <w:szCs w:val="21"/>
          <w:lang w:val="de-DE"/>
        </w:rPr>
        <w:t>1943</w:t>
      </w:r>
      <w:r w:rsidRPr="0076425D">
        <w:rPr>
          <w:rFonts w:ascii="Arial" w:hAnsi="Arial" w:cs="Arial"/>
          <w:color w:val="403C4E"/>
          <w:sz w:val="21"/>
          <w:szCs w:val="21"/>
          <w:lang w:val="de-DE"/>
        </w:rPr>
        <w:t>: "</w:t>
      </w:r>
      <w:r w:rsidRPr="0076425D">
        <w:rPr>
          <w:rStyle w:val="zitat"/>
          <w:rFonts w:ascii="Arial" w:hAnsi="Arial" w:cs="Arial"/>
          <w:color w:val="770B49"/>
          <w:sz w:val="18"/>
          <w:szCs w:val="18"/>
          <w:lang w:val="de-DE"/>
        </w:rPr>
        <w:t>Ich halte es für richtig, Deutschland, sobald wir es besiegt haben, für alle Zeit zu verkrüppeln. Ich würde die deutsche Bevölkerung um ein Drittel oder vielleicht auf die Hälfte reduzieren. Die Waffe, die ich dabei in Anwendung bringen würde, ist die Aushungerung. Wenn mich ein gutmütiger Engländer fragt: ,Würden Sie dabei nicht auch die deutschen Frauen und Kinder aushungern?', so antworte ich ihm: 'Jawohl, ich würde es tun'.</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(8)</w:t>
      </w:r>
      <w:r w:rsidRPr="0076425D">
        <w:rPr>
          <w:rFonts w:ascii="Arial" w:hAnsi="Arial" w:cs="Arial"/>
          <w:color w:val="403C4E"/>
          <w:sz w:val="21"/>
          <w:szCs w:val="21"/>
          <w:lang w:val="de-DE"/>
        </w:rPr>
        <w:br/>
      </w:r>
      <w:r>
        <w:rPr>
          <w:rFonts w:ascii="Arial" w:hAnsi="Arial" w:cs="Arial"/>
          <w:noProof/>
          <w:color w:val="403C4E"/>
          <w:sz w:val="21"/>
          <w:szCs w:val="21"/>
        </w:rPr>
        <w:drawing>
          <wp:inline distT="0" distB="0" distL="0" distR="0">
            <wp:extent cx="95250" cy="133350"/>
            <wp:effectExtent l="19050" t="0" r="0" b="0"/>
            <wp:docPr id="4" name="id9872479657642543" desc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9872479657642543" descr="mark"/>
                    <pic:cNvPicPr>
                      <a:picLocks noChangeAspect="1" noChangeArrowheads="1"/>
                    </pic:cNvPicPr>
                  </pic:nvPicPr>
                  <pic:blipFill>
                    <a:blip r:embed="rId5"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6425D">
        <w:rPr>
          <w:rFonts w:ascii="Arial" w:hAnsi="Arial" w:cs="Arial"/>
          <w:color w:val="403C4E"/>
          <w:sz w:val="21"/>
          <w:szCs w:val="21"/>
          <w:lang w:val="de-DE"/>
        </w:rPr>
        <w:t>Ein brit. Journalist</w:t>
      </w:r>
      <w:r w:rsidRPr="0076425D">
        <w:rPr>
          <w:rStyle w:val="apple-converted-space"/>
          <w:rFonts w:ascii="Arial" w:eastAsiaTheme="majorEastAsia" w:hAnsi="Arial" w:cs="Arial"/>
          <w:color w:val="403C4E"/>
          <w:sz w:val="21"/>
          <w:szCs w:val="21"/>
          <w:lang w:val="de-DE"/>
        </w:rPr>
        <w:t> </w:t>
      </w:r>
      <w:r w:rsidRPr="0076425D">
        <w:rPr>
          <w:rFonts w:ascii="Arial" w:hAnsi="Arial" w:cs="Arial"/>
          <w:i/>
          <w:iCs/>
          <w:color w:val="403C4E"/>
          <w:sz w:val="21"/>
          <w:szCs w:val="21"/>
          <w:lang w:val="de-DE"/>
        </w:rPr>
        <w:t>1944</w:t>
      </w:r>
      <w:r w:rsidRPr="0076425D">
        <w:rPr>
          <w:rFonts w:ascii="Arial" w:hAnsi="Arial" w:cs="Arial"/>
          <w:color w:val="403C4E"/>
          <w:sz w:val="21"/>
          <w:szCs w:val="21"/>
          <w:lang w:val="de-DE"/>
        </w:rPr>
        <w:t>: "</w:t>
      </w:r>
      <w:r w:rsidRPr="0076425D">
        <w:rPr>
          <w:rStyle w:val="zitat"/>
          <w:rFonts w:ascii="Arial" w:hAnsi="Arial" w:cs="Arial"/>
          <w:color w:val="770B49"/>
          <w:sz w:val="18"/>
          <w:szCs w:val="18"/>
          <w:lang w:val="de-DE"/>
        </w:rPr>
        <w:t>So wie Nebukadnezar mit fremden Völkern umging, sollten die Alliierten, wenn sie siegten, die Deutschen behandeln. Kurzerhand wären alle Deutschen in die Sowjetunion abzutransportieren und dorthin umzupflanzen. Gibt es doch in Nordrußland und Nordsibirien genügend große Sumpfgebiete, die beispielsweise das deutsche Volk trockenlegen könnte.</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(9)</w:t>
      </w:r>
      <w:r w:rsidRPr="0076425D">
        <w:rPr>
          <w:rFonts w:ascii="Arial" w:hAnsi="Arial" w:cs="Arial"/>
          <w:color w:val="403C4E"/>
          <w:sz w:val="21"/>
          <w:szCs w:val="21"/>
          <w:lang w:val="de-DE"/>
        </w:rPr>
        <w:br/>
      </w:r>
      <w:r>
        <w:rPr>
          <w:rFonts w:ascii="Arial" w:hAnsi="Arial" w:cs="Arial"/>
          <w:noProof/>
          <w:color w:val="403C4E"/>
          <w:sz w:val="21"/>
          <w:szCs w:val="21"/>
        </w:rPr>
        <w:drawing>
          <wp:inline distT="0" distB="0" distL="0" distR="0">
            <wp:extent cx="95250" cy="133350"/>
            <wp:effectExtent l="19050" t="0" r="0" b="0"/>
            <wp:docPr id="5" name="id21381935779936612" desc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21381935779936612" descr="mark"/>
                    <pic:cNvPicPr>
                      <a:picLocks noChangeAspect="1" noChangeArrowheads="1"/>
                    </pic:cNvPicPr>
                  </pic:nvPicPr>
                  <pic:blipFill>
                    <a:blip r:embed="rId5"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6425D">
        <w:rPr>
          <w:rFonts w:ascii="Arial" w:hAnsi="Arial" w:cs="Arial"/>
          <w:color w:val="403C4E"/>
          <w:sz w:val="21"/>
          <w:szCs w:val="21"/>
          <w:lang w:val="de-DE"/>
        </w:rPr>
        <w:t>George F. Kennan (1904-2005), US-Botschafter in Moskau,</w:t>
      </w:r>
      <w:r w:rsidRPr="0076425D">
        <w:rPr>
          <w:rStyle w:val="apple-converted-space"/>
          <w:rFonts w:ascii="Arial" w:eastAsiaTheme="majorEastAsia" w:hAnsi="Arial" w:cs="Arial"/>
          <w:color w:val="403C4E"/>
          <w:sz w:val="21"/>
          <w:szCs w:val="21"/>
          <w:lang w:val="de-DE"/>
        </w:rPr>
        <w:t> </w:t>
      </w:r>
      <w:r w:rsidRPr="0076425D">
        <w:rPr>
          <w:rFonts w:ascii="Arial" w:hAnsi="Arial" w:cs="Arial"/>
          <w:i/>
          <w:iCs/>
          <w:color w:val="403C4E"/>
          <w:sz w:val="21"/>
          <w:szCs w:val="21"/>
          <w:lang w:val="de-DE"/>
        </w:rPr>
        <w:t>1947</w:t>
      </w:r>
      <w:r w:rsidRPr="0076425D">
        <w:rPr>
          <w:rFonts w:ascii="Arial" w:hAnsi="Arial" w:cs="Arial"/>
          <w:color w:val="403C4E"/>
          <w:sz w:val="21"/>
          <w:szCs w:val="21"/>
          <w:lang w:val="de-DE"/>
        </w:rPr>
        <w:t>: "</w:t>
      </w:r>
      <w:r w:rsidRPr="0076425D">
        <w:rPr>
          <w:rStyle w:val="zitat"/>
          <w:rFonts w:ascii="Arial" w:hAnsi="Arial" w:cs="Arial"/>
          <w:color w:val="770B49"/>
          <w:sz w:val="18"/>
          <w:szCs w:val="18"/>
          <w:lang w:val="de-DE"/>
        </w:rPr>
        <w:t>Dadurch, daß wir den Russen erlaubt haben, Königsberg zu annektieren, und Wien und Weimar zu besetzten, haben wir das Äußerste getan, um zweitausend Jahre europäischer Geschichte ungeschehen zu machen.</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(10)</w:t>
      </w:r>
      <w:r w:rsidRPr="0076425D">
        <w:rPr>
          <w:rFonts w:ascii="Arial" w:hAnsi="Arial" w:cs="Arial"/>
          <w:color w:val="403C4E"/>
          <w:sz w:val="21"/>
          <w:szCs w:val="21"/>
          <w:lang w:val="de-DE"/>
        </w:rPr>
        <w:br/>
      </w:r>
      <w:r>
        <w:rPr>
          <w:rFonts w:ascii="Arial" w:hAnsi="Arial" w:cs="Arial"/>
          <w:noProof/>
          <w:color w:val="403C4E"/>
          <w:sz w:val="21"/>
          <w:szCs w:val="21"/>
        </w:rPr>
        <w:drawing>
          <wp:inline distT="0" distB="0" distL="0" distR="0">
            <wp:extent cx="95250" cy="133350"/>
            <wp:effectExtent l="19050" t="0" r="0" b="0"/>
            <wp:docPr id="6" name="id1791934883221984" desc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1791934883221984" descr="mark"/>
                    <pic:cNvPicPr>
                      <a:picLocks noChangeAspect="1" noChangeArrowheads="1"/>
                    </pic:cNvPicPr>
                  </pic:nvPicPr>
                  <pic:blipFill>
                    <a:blip r:embed="rId5"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6425D">
        <w:rPr>
          <w:rFonts w:ascii="Arial" w:hAnsi="Arial" w:cs="Arial"/>
          <w:color w:val="403C4E"/>
          <w:sz w:val="21"/>
          <w:szCs w:val="21"/>
          <w:lang w:val="de-DE"/>
        </w:rPr>
        <w:t>Ebenso Stalin (J.W. Dschugaschwili): "</w:t>
      </w:r>
      <w:r w:rsidRPr="0076425D">
        <w:rPr>
          <w:rStyle w:val="zitat"/>
          <w:rFonts w:ascii="Arial" w:hAnsi="Arial" w:cs="Arial"/>
          <w:color w:val="770B49"/>
          <w:sz w:val="18"/>
          <w:szCs w:val="18"/>
          <w:lang w:val="de-DE"/>
        </w:rPr>
        <w:t>Dies ist der Sieg der Slawen über die Germanen.</w:t>
      </w:r>
      <w:r w:rsidRPr="0076425D">
        <w:rPr>
          <w:rFonts w:ascii="Arial" w:hAnsi="Arial" w:cs="Arial"/>
          <w:color w:val="403C4E"/>
          <w:sz w:val="21"/>
          <w:szCs w:val="21"/>
          <w:lang w:val="de-DE"/>
        </w:rPr>
        <w:t>"</w:t>
      </w:r>
    </w:p>
    <w:p w:rsidR="0076425D" w:rsidRPr="0076425D" w:rsidRDefault="0076425D" w:rsidP="0076425D">
      <w:pPr>
        <w:pStyle w:val="NormalWeb"/>
        <w:spacing w:before="0" w:after="0" w:line="315" w:lineRule="atLeast"/>
        <w:rPr>
          <w:rFonts w:ascii="Arial" w:hAnsi="Arial" w:cs="Arial"/>
          <w:color w:val="403C4E"/>
          <w:sz w:val="21"/>
          <w:szCs w:val="21"/>
          <w:lang w:val="de-DE"/>
        </w:rPr>
      </w:pPr>
      <w:r w:rsidRPr="0076425D">
        <w:rPr>
          <w:rStyle w:val="marker"/>
          <w:rFonts w:ascii="Arial" w:eastAsiaTheme="majorEastAsia" w:hAnsi="Arial" w:cs="Arial"/>
          <w:b/>
          <w:bCs/>
          <w:color w:val="015958"/>
          <w:sz w:val="20"/>
          <w:szCs w:val="20"/>
          <w:lang w:val="de-DE"/>
        </w:rPr>
        <w:t>Erster Weltkrieg:</w:t>
      </w:r>
      <w:r w:rsidRPr="0076425D">
        <w:rPr>
          <w:rStyle w:val="apple-converted-space"/>
          <w:rFonts w:ascii="Arial" w:eastAsiaTheme="majorEastAsia" w:hAnsi="Arial" w:cs="Arial"/>
          <w:color w:val="403C4E"/>
          <w:sz w:val="21"/>
          <w:szCs w:val="21"/>
          <w:lang w:val="de-DE"/>
        </w:rPr>
        <w:t> </w:t>
      </w:r>
      <w:r w:rsidRPr="0076425D">
        <w:rPr>
          <w:rFonts w:ascii="Arial" w:hAnsi="Arial" w:cs="Arial"/>
          <w:color w:val="403C4E"/>
          <w:sz w:val="21"/>
          <w:szCs w:val="21"/>
          <w:lang w:val="de-DE"/>
        </w:rPr>
        <w:t>Ebenso irrig wäre es, zu meinen, diese Haß-Ideen erklären zu können als verständliche Reaktion auf eine angebliche dt. Kriegsschuld im vorangegangenen Ersten Weltkrieg. Vergl. Sepp-Depp</w:t>
      </w:r>
      <w:r w:rsidRPr="0076425D">
        <w:rPr>
          <w:rStyle w:val="apple-converted-space"/>
          <w:rFonts w:ascii="Arial" w:eastAsiaTheme="majorEastAsia" w:hAnsi="Arial" w:cs="Arial"/>
          <w:color w:val="403C4E"/>
          <w:sz w:val="21"/>
          <w:szCs w:val="21"/>
          <w:lang w:val="de-DE"/>
        </w:rPr>
        <w:t> </w:t>
      </w:r>
      <w:r w:rsidRPr="0076425D">
        <w:rPr>
          <w:rStyle w:val="click2"/>
          <w:rFonts w:ascii="Arial" w:hAnsi="Arial" w:cs="Arial"/>
          <w:color w:val="1A6858"/>
          <w:sz w:val="18"/>
          <w:szCs w:val="18"/>
          <w:bdr w:val="none" w:sz="0" w:space="0" w:color="auto" w:frame="1"/>
          <w:lang w:val="de-DE"/>
        </w:rPr>
        <w:t>Nr. 22</w:t>
      </w:r>
      <w:r>
        <w:rPr>
          <w:rFonts w:ascii="Verdana" w:hAnsi="Verdana" w:cs="Arial"/>
          <w:noProof/>
          <w:color w:val="015812"/>
          <w:sz w:val="18"/>
          <w:szCs w:val="18"/>
          <w:bdr w:val="none" w:sz="0" w:space="0" w:color="auto" w:frame="1"/>
        </w:rPr>
        <w:drawing>
          <wp:inline distT="0" distB="0" distL="0" distR="0">
            <wp:extent cx="228600" cy="104775"/>
            <wp:effectExtent l="19050" t="0" r="0" b="0"/>
            <wp:docPr id="7" name="id35785926040261984" descr="intern">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5785926040261984" descr="intern">
                      <a:hlinkClick r:id="rId6" tgtFrame="&quot;_blank&quot;"/>
                    </pic:cNvPr>
                    <pic:cNvPicPr>
                      <a:picLocks noChangeAspect="1" noChangeArrowheads="1"/>
                    </pic:cNvPicPr>
                  </pic:nvPicPr>
                  <pic:blipFill>
                    <a:blip r:embed="rId7" cstate="print"/>
                    <a:srcRect/>
                    <a:stretch>
                      <a:fillRect/>
                    </a:stretch>
                  </pic:blipFill>
                  <pic:spPr bwMode="auto">
                    <a:xfrm>
                      <a:off x="0" y="0"/>
                      <a:ext cx="228600" cy="104775"/>
                    </a:xfrm>
                    <a:prstGeom prst="rect">
                      <a:avLst/>
                    </a:prstGeom>
                    <a:noFill/>
                    <a:ln w="9525">
                      <a:noFill/>
                      <a:miter lim="800000"/>
                      <a:headEnd/>
                      <a:tailEnd/>
                    </a:ln>
                  </pic:spPr>
                </pic:pic>
              </a:graphicData>
            </a:graphic>
          </wp:inline>
        </w:drawing>
      </w:r>
      <w:r w:rsidRPr="0076425D">
        <w:rPr>
          <w:rStyle w:val="apple-converted-space"/>
          <w:rFonts w:ascii="Arial" w:eastAsiaTheme="majorEastAsia" w:hAnsi="Arial" w:cs="Arial"/>
          <w:color w:val="403C4E"/>
          <w:sz w:val="21"/>
          <w:szCs w:val="21"/>
          <w:lang w:val="de-DE"/>
        </w:rPr>
        <w:t> </w:t>
      </w:r>
      <w:r w:rsidRPr="0076425D">
        <w:rPr>
          <w:rFonts w:ascii="Arial" w:hAnsi="Arial" w:cs="Arial"/>
          <w:color w:val="403C4E"/>
          <w:sz w:val="21"/>
          <w:szCs w:val="21"/>
          <w:lang w:val="de-DE"/>
        </w:rPr>
        <w:t>Der frz. Staatschef Clemenceau im Juni 1921 als Fazit des Ersten Weltkriegs: "</w:t>
      </w:r>
      <w:r w:rsidRPr="0076425D">
        <w:rPr>
          <w:rStyle w:val="zitat"/>
          <w:rFonts w:ascii="Arial" w:hAnsi="Arial" w:cs="Arial"/>
          <w:color w:val="770B49"/>
          <w:sz w:val="18"/>
          <w:szCs w:val="18"/>
          <w:lang w:val="de-DE"/>
        </w:rPr>
        <w:t>Der Krieg war nur die Vorbereitung, die Vernichtung des deutschen Volkes fängt jetzt erst an.</w:t>
      </w:r>
      <w:r w:rsidRPr="0076425D">
        <w:rPr>
          <w:rFonts w:ascii="Arial" w:hAnsi="Arial" w:cs="Arial"/>
          <w:color w:val="403C4E"/>
          <w:sz w:val="21"/>
          <w:szCs w:val="21"/>
          <w:lang w:val="de-DE"/>
        </w:rPr>
        <w:t>" In einem Brief an das Stockholmer Nobel-Institut lehnte Clemenceau es ab, seine Memoiren zu schreiben, denn "</w:t>
      </w:r>
      <w:r w:rsidRPr="0076425D">
        <w:rPr>
          <w:rStyle w:val="zitat"/>
          <w:rFonts w:ascii="Arial" w:hAnsi="Arial" w:cs="Arial"/>
          <w:color w:val="770B49"/>
          <w:sz w:val="18"/>
          <w:szCs w:val="18"/>
          <w:lang w:val="de-DE"/>
        </w:rPr>
        <w:t>... wenn ich das schreiben würde, so würde nicht ein Mann, auch nicht ein einziger mehr, in den Krieg ziehen, selbst wenn seines Landes Zukunft auf dem Spiel stünde.</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(11)</w:t>
      </w:r>
      <w:r w:rsidRPr="0076425D">
        <w:rPr>
          <w:rFonts w:ascii="Arial" w:hAnsi="Arial" w:cs="Arial"/>
          <w:color w:val="403C4E"/>
          <w:sz w:val="21"/>
          <w:szCs w:val="21"/>
          <w:lang w:val="de-DE"/>
        </w:rPr>
        <w:t>Entsprechend sah dieser Staatschef und Aspirant für den Friedens-Nobelpreis auch den Friedensvertrag von Versailles (1919) nur als Einstieg in weitere Aktionen, weshalb er die Offiziersschüler von St. Cyr im selben Jahr beruhigen konnte: "</w:t>
      </w:r>
      <w:r w:rsidRPr="0076425D">
        <w:rPr>
          <w:rStyle w:val="zitat"/>
          <w:rFonts w:ascii="Arial" w:hAnsi="Arial" w:cs="Arial"/>
          <w:color w:val="770B49"/>
          <w:sz w:val="18"/>
          <w:szCs w:val="18"/>
          <w:lang w:val="de-DE"/>
        </w:rPr>
        <w:t>Meine jungen Freunde, seien Sie ohne Sorge für Ihre militärische Zukunft. Der Frieden, den wir soeben gemacht haben sichert Ihnen zehn Jahre der Konflikte in Mitteleuropa!</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(12)</w:t>
      </w:r>
    </w:p>
    <w:p w:rsidR="0076425D" w:rsidRPr="0076425D" w:rsidRDefault="0076425D" w:rsidP="0076425D">
      <w:pPr>
        <w:pStyle w:val="NormalWeb"/>
        <w:spacing w:line="315" w:lineRule="atLeast"/>
        <w:rPr>
          <w:rFonts w:ascii="Arial" w:hAnsi="Arial" w:cs="Arial"/>
          <w:color w:val="403C4E"/>
          <w:sz w:val="21"/>
          <w:szCs w:val="21"/>
          <w:lang w:val="de-DE"/>
        </w:rPr>
      </w:pPr>
      <w:r w:rsidRPr="0076425D">
        <w:rPr>
          <w:rStyle w:val="marker"/>
          <w:rFonts w:ascii="Arial" w:eastAsiaTheme="majorEastAsia" w:hAnsi="Arial" w:cs="Arial"/>
          <w:b/>
          <w:bCs/>
          <w:color w:val="015958"/>
          <w:sz w:val="20"/>
          <w:szCs w:val="20"/>
          <w:lang w:val="de-DE"/>
        </w:rPr>
        <w:t>Umgangsweisen:</w:t>
      </w:r>
      <w:r w:rsidRPr="0076425D">
        <w:rPr>
          <w:rStyle w:val="apple-converted-space"/>
          <w:rFonts w:ascii="Arial" w:eastAsiaTheme="majorEastAsia" w:hAnsi="Arial" w:cs="Arial"/>
          <w:color w:val="403C4E"/>
          <w:sz w:val="21"/>
          <w:szCs w:val="21"/>
          <w:lang w:val="de-DE"/>
        </w:rPr>
        <w:t> </w:t>
      </w:r>
      <w:r w:rsidRPr="0076425D">
        <w:rPr>
          <w:rFonts w:ascii="Arial" w:hAnsi="Arial" w:cs="Arial"/>
          <w:color w:val="403C4E"/>
          <w:sz w:val="21"/>
          <w:szCs w:val="21"/>
          <w:lang w:val="de-DE"/>
        </w:rPr>
        <w:t>Zur anscheinend bis heute betriebenen Umsetzung dieses klar formulierten Konzepts einer politischen Besatzung durch Umerziehung nach den Plänen von Nizer schon vor längerer Zeit ein US-Historiker:</w:t>
      </w:r>
      <w:r w:rsidRPr="0076425D">
        <w:rPr>
          <w:rFonts w:ascii="Arial" w:hAnsi="Arial" w:cs="Arial"/>
          <w:color w:val="403C4E"/>
          <w:sz w:val="21"/>
          <w:szCs w:val="21"/>
          <w:lang w:val="de-DE"/>
        </w:rPr>
        <w:br/>
        <w:t>"</w:t>
      </w:r>
      <w:r w:rsidRPr="0076425D">
        <w:rPr>
          <w:rStyle w:val="zitat"/>
          <w:rFonts w:ascii="Arial" w:hAnsi="Arial" w:cs="Arial"/>
          <w:color w:val="770B49"/>
          <w:sz w:val="18"/>
          <w:szCs w:val="18"/>
          <w:lang w:val="de-DE"/>
        </w:rPr>
        <w:t xml:space="preserve">Es liegen Beweise dafür vor, daß viel wichtiges Material zurückgehalten oder vernichtet und die Veröffentlichung in skandalöser Weise hinausgezögert wurde. Die Demokraten haben an diesen Mißständen gleichen Anteil wie die Republikaner. Sie traten unter der Truman- und Eisenhower-Regierung auf. Als die Dokumente über die vielbesprochene und umstrittene Yalta-Konferenz veröffentlicht wurden, protestierten zwei führend an der Herausgabe beteiligten Historiker des Außenministeriums, Bryton Barron und Donald M. Dozer, öffentlich gegen die Auslassungen und Entstellungen. Barron hatte die Yalta-Dokumente zusammengestellt und war empört über das, was davon schließlich im Druck erschien. Die beiden Männer wurden prompt ihres Amtes enthoben. Und die </w:t>
      </w:r>
      <w:r w:rsidRPr="0076425D">
        <w:rPr>
          <w:rStyle w:val="zitat"/>
          <w:rFonts w:ascii="Arial" w:hAnsi="Arial" w:cs="Arial"/>
          <w:color w:val="770B49"/>
          <w:sz w:val="18"/>
          <w:szCs w:val="18"/>
          <w:lang w:val="de-DE"/>
        </w:rPr>
        <w:lastRenderedPageBreak/>
        <w:t>Herausgeber ließen keinerlei Besserung hinsichtlich ihrer Objektivität und Integrität erkennen. ... (weil) sich die großen kommerziellen Verlagshäuser weigerten, die Wahrheit über die Ursachen des Zweiten Weltkrieges zu veröffentlichen. Viele große Verlagshäuser stehen der Wahrheit ablehnend gegenüber, andere dagegen veröffentlichen die wirklichen Tatsachen nicht, aus Furcht vor Repressalien und vor wirtschaftlichem Boykott durch die bedeutenden Buchklubs, die einen starken Einfluß auf den Verkauf und die Verbreitung der Bücher haben.</w:t>
      </w:r>
      <w:r w:rsidRPr="0076425D">
        <w:rPr>
          <w:rFonts w:ascii="Arial" w:hAnsi="Arial" w:cs="Arial"/>
          <w:color w:val="403C4E"/>
          <w:sz w:val="21"/>
          <w:szCs w:val="21"/>
          <w:lang w:val="de-DE"/>
        </w:rPr>
        <w:t>"</w:t>
      </w:r>
      <w:r w:rsidRPr="0076425D">
        <w:rPr>
          <w:rFonts w:ascii="Arial" w:hAnsi="Arial" w:cs="Arial"/>
          <w:b/>
          <w:bCs/>
          <w:color w:val="403C4E"/>
          <w:sz w:val="21"/>
          <w:szCs w:val="21"/>
          <w:lang w:val="de-DE"/>
        </w:rPr>
        <w:t>(13)</w:t>
      </w:r>
    </w:p>
    <w:p w:rsidR="0076425D" w:rsidRPr="0076425D" w:rsidRDefault="0076425D" w:rsidP="0076425D">
      <w:pPr>
        <w:pStyle w:val="NormalWeb"/>
        <w:spacing w:line="315" w:lineRule="atLeast"/>
        <w:rPr>
          <w:rFonts w:ascii="Arial" w:hAnsi="Arial" w:cs="Arial"/>
          <w:color w:val="403C4E"/>
          <w:sz w:val="21"/>
          <w:szCs w:val="21"/>
          <w:lang w:val="de-DE"/>
        </w:rPr>
      </w:pPr>
      <w:r w:rsidRPr="0076425D">
        <w:rPr>
          <w:rFonts w:ascii="Arial" w:hAnsi="Arial" w:cs="Arial"/>
          <w:color w:val="403C4E"/>
          <w:sz w:val="21"/>
          <w:szCs w:val="21"/>
          <w:lang w:val="de-DE"/>
        </w:rPr>
        <w:t>Wie schon der amerikanische Schriftsteller Upton Sinclair so schön sagte: "</w:t>
      </w:r>
      <w:r w:rsidRPr="0076425D">
        <w:rPr>
          <w:rStyle w:val="zitat"/>
          <w:rFonts w:ascii="Arial" w:hAnsi="Arial" w:cs="Arial"/>
          <w:color w:val="770B49"/>
          <w:sz w:val="18"/>
          <w:szCs w:val="18"/>
          <w:lang w:val="de-DE"/>
        </w:rPr>
        <w:t>Man kann schwerlich von einem Menschen Verständnis für eine Sache verlangen, wenn sein Gehalt davon abhängt, daß er sie nicht versteht.</w:t>
      </w:r>
      <w:r w:rsidRPr="0076425D">
        <w:rPr>
          <w:rFonts w:ascii="Arial" w:hAnsi="Arial" w:cs="Arial"/>
          <w:color w:val="403C4E"/>
          <w:sz w:val="21"/>
          <w:szCs w:val="21"/>
          <w:lang w:val="de-DE"/>
        </w:rPr>
        <w:t>"</w:t>
      </w:r>
    </w:p>
    <w:p w:rsidR="0076425D" w:rsidRPr="0076425D" w:rsidRDefault="0076425D" w:rsidP="0076425D">
      <w:pPr>
        <w:pStyle w:val="NormalWeb"/>
        <w:spacing w:before="0" w:after="0" w:line="315" w:lineRule="atLeast"/>
        <w:rPr>
          <w:rFonts w:ascii="Arial" w:hAnsi="Arial" w:cs="Arial"/>
          <w:color w:val="403C4E"/>
          <w:sz w:val="21"/>
          <w:szCs w:val="21"/>
          <w:lang w:val="de-DE"/>
        </w:rPr>
      </w:pPr>
      <w:r>
        <w:rPr>
          <w:rFonts w:ascii="Arial" w:hAnsi="Arial" w:cs="Arial"/>
          <w:b/>
          <w:bCs/>
          <w:color w:val="403C4E"/>
          <w:sz w:val="15"/>
          <w:szCs w:val="15"/>
        </w:rPr>
        <w:t>(1)</w:t>
      </w:r>
      <w:r>
        <w:rPr>
          <w:rStyle w:val="apple-converted-space"/>
          <w:rFonts w:ascii="Arial" w:eastAsiaTheme="majorEastAsia" w:hAnsi="Arial" w:cs="Arial"/>
          <w:color w:val="403C4E"/>
          <w:sz w:val="15"/>
          <w:szCs w:val="15"/>
        </w:rPr>
        <w:t> </w:t>
      </w:r>
      <w:proofErr w:type="spellStart"/>
      <w:r>
        <w:rPr>
          <w:rFonts w:ascii="Arial" w:hAnsi="Arial" w:cs="Arial"/>
          <w:color w:val="403C4E"/>
          <w:sz w:val="15"/>
          <w:szCs w:val="15"/>
        </w:rPr>
        <w:t>H.M.Morgenthau</w:t>
      </w:r>
      <w:proofErr w:type="spellEnd"/>
      <w:r>
        <w:rPr>
          <w:rFonts w:ascii="Arial" w:hAnsi="Arial" w:cs="Arial"/>
          <w:color w:val="403C4E"/>
          <w:sz w:val="15"/>
          <w:szCs w:val="15"/>
        </w:rPr>
        <w:t xml:space="preserve">: Germany Is Our Problem. Harper and Brothers, 1945: "This </w:t>
      </w:r>
      <w:proofErr w:type="spellStart"/>
      <w:r>
        <w:rPr>
          <w:rFonts w:ascii="Arial" w:hAnsi="Arial" w:cs="Arial"/>
          <w:color w:val="403C4E"/>
          <w:sz w:val="15"/>
          <w:szCs w:val="15"/>
        </w:rPr>
        <w:t>programme</w:t>
      </w:r>
      <w:proofErr w:type="spellEnd"/>
      <w:r>
        <w:rPr>
          <w:rFonts w:ascii="Arial" w:hAnsi="Arial" w:cs="Arial"/>
          <w:color w:val="403C4E"/>
          <w:sz w:val="15"/>
          <w:szCs w:val="15"/>
        </w:rPr>
        <w:t xml:space="preserve"> for eliminating the war-making industries in the Ruhr and in the Saar is looking forward to converting Germany into a country primarily agricultural and pastoral in its character."</w:t>
      </w:r>
      <w:r>
        <w:rPr>
          <w:rFonts w:ascii="Arial" w:hAnsi="Arial" w:cs="Arial"/>
          <w:color w:val="403C4E"/>
          <w:sz w:val="15"/>
          <w:szCs w:val="15"/>
        </w:rPr>
        <w:br/>
      </w:r>
      <w:r>
        <w:rPr>
          <w:rFonts w:ascii="Arial" w:hAnsi="Arial" w:cs="Arial"/>
          <w:b/>
          <w:bCs/>
          <w:color w:val="403C4E"/>
          <w:sz w:val="15"/>
          <w:szCs w:val="15"/>
        </w:rPr>
        <w:t>(2)</w:t>
      </w:r>
      <w:r>
        <w:rPr>
          <w:rStyle w:val="apple-converted-space"/>
          <w:rFonts w:ascii="Arial" w:eastAsiaTheme="majorEastAsia" w:hAnsi="Arial" w:cs="Arial"/>
          <w:color w:val="403C4E"/>
          <w:sz w:val="15"/>
          <w:szCs w:val="15"/>
        </w:rPr>
        <w:t> </w:t>
      </w:r>
      <w:proofErr w:type="spellStart"/>
      <w:r>
        <w:rPr>
          <w:rFonts w:ascii="Arial" w:hAnsi="Arial" w:cs="Arial"/>
          <w:color w:val="403C4E"/>
          <w:sz w:val="15"/>
          <w:szCs w:val="15"/>
        </w:rPr>
        <w:t>L.Nizer</w:t>
      </w:r>
      <w:proofErr w:type="spellEnd"/>
      <w:r>
        <w:rPr>
          <w:rFonts w:ascii="Arial" w:hAnsi="Arial" w:cs="Arial"/>
          <w:color w:val="403C4E"/>
          <w:sz w:val="15"/>
          <w:szCs w:val="15"/>
        </w:rPr>
        <w:t xml:space="preserve">: "What to do with Germany", Chicago-New York 1944. </w:t>
      </w:r>
      <w:r w:rsidRPr="0076425D">
        <w:rPr>
          <w:rFonts w:ascii="Arial" w:hAnsi="Arial" w:cs="Arial"/>
          <w:color w:val="403C4E"/>
          <w:sz w:val="15"/>
          <w:szCs w:val="15"/>
          <w:lang w:val="de-DE"/>
        </w:rPr>
        <w:t>Dt. Übersetzung in der Sammlung Erich Kern, Hrsg.: Verheimlichte Dokumente - Was den Deutschen verschwiegen wird.</w:t>
      </w:r>
      <w:r w:rsidRPr="0076425D">
        <w:rPr>
          <w:rFonts w:ascii="Arial" w:hAnsi="Arial" w:cs="Arial"/>
          <w:color w:val="403C4E"/>
          <w:sz w:val="15"/>
          <w:szCs w:val="15"/>
          <w:lang w:val="de-DE"/>
        </w:rPr>
        <w:br/>
      </w:r>
      <w:r w:rsidRPr="0076425D">
        <w:rPr>
          <w:rFonts w:ascii="Arial" w:hAnsi="Arial" w:cs="Arial"/>
          <w:b/>
          <w:bCs/>
          <w:color w:val="403C4E"/>
          <w:sz w:val="15"/>
          <w:szCs w:val="15"/>
          <w:lang w:val="de-DE"/>
        </w:rPr>
        <w:t>(3)</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Reverend Whipp im anglikanischen Kirchenblatt laut Daily Mirror, 05.09.40 in H. Kardel: Wider Willkür und Machtrausch. Göttingen 1955, S.115</w:t>
      </w:r>
      <w:r w:rsidRPr="0076425D">
        <w:rPr>
          <w:rFonts w:ascii="Arial" w:hAnsi="Arial" w:cs="Arial"/>
          <w:color w:val="403C4E"/>
          <w:sz w:val="15"/>
          <w:szCs w:val="15"/>
          <w:lang w:val="de-DE"/>
        </w:rPr>
        <w:br/>
      </w:r>
      <w:r w:rsidRPr="0076425D">
        <w:rPr>
          <w:rFonts w:ascii="Arial" w:hAnsi="Arial" w:cs="Arial"/>
          <w:b/>
          <w:bCs/>
          <w:color w:val="403C4E"/>
          <w:sz w:val="15"/>
          <w:szCs w:val="15"/>
          <w:lang w:val="de-DE"/>
        </w:rPr>
        <w:t>(4)</w:t>
      </w:r>
      <w:r w:rsidRPr="0076425D">
        <w:rPr>
          <w:rStyle w:val="apple-converted-space"/>
          <w:rFonts w:ascii="Arial" w:eastAsiaTheme="majorEastAsia" w:hAnsi="Arial" w:cs="Arial"/>
          <w:b/>
          <w:bCs/>
          <w:color w:val="403C4E"/>
          <w:sz w:val="15"/>
          <w:szCs w:val="15"/>
          <w:lang w:val="de-DE"/>
        </w:rPr>
        <w:t> </w:t>
      </w:r>
      <w:r w:rsidRPr="0076425D">
        <w:rPr>
          <w:rFonts w:ascii="Arial" w:hAnsi="Arial" w:cs="Arial"/>
          <w:color w:val="403C4E"/>
          <w:sz w:val="15"/>
          <w:szCs w:val="15"/>
          <w:lang w:val="de-DE"/>
        </w:rPr>
        <w:t>Das Buch S. 18-23</w:t>
      </w:r>
      <w:r w:rsidRPr="0076425D">
        <w:rPr>
          <w:rStyle w:val="apple-converted-space"/>
          <w:rFonts w:ascii="Arial" w:eastAsiaTheme="majorEastAsia" w:hAnsi="Arial" w:cs="Arial"/>
          <w:color w:val="403C4E"/>
          <w:sz w:val="15"/>
          <w:szCs w:val="15"/>
          <w:lang w:val="de-DE"/>
        </w:rPr>
        <w:t> </w:t>
      </w:r>
      <w:r w:rsidRPr="0076425D">
        <w:rPr>
          <w:rStyle w:val="click"/>
          <w:rFonts w:ascii="Arial" w:hAnsi="Arial" w:cs="Arial"/>
          <w:color w:val="685896"/>
          <w:sz w:val="18"/>
          <w:szCs w:val="18"/>
          <w:bdr w:val="none" w:sz="0" w:space="0" w:color="auto" w:frame="1"/>
          <w:lang w:val="de-DE"/>
        </w:rPr>
        <w:t>TUB</w:t>
      </w:r>
      <w:r>
        <w:rPr>
          <w:rFonts w:ascii="Verdana" w:hAnsi="Verdana" w:cs="Arial"/>
          <w:noProof/>
          <w:color w:val="015812"/>
          <w:sz w:val="18"/>
          <w:szCs w:val="18"/>
          <w:bdr w:val="none" w:sz="0" w:space="0" w:color="auto" w:frame="1"/>
        </w:rPr>
        <w:drawing>
          <wp:inline distT="0" distB="0" distL="0" distR="0">
            <wp:extent cx="228600" cy="104775"/>
            <wp:effectExtent l="19050" t="0" r="0" b="0"/>
            <wp:docPr id="8" name="id010238382732495666" descr="exter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010238382732495666" descr="extern">
                      <a:hlinkClick r:id="rId8" tgtFrame="&quot;_blank&quot;"/>
                    </pic:cNvPr>
                    <pic:cNvPicPr>
                      <a:picLocks noChangeAspect="1" noChangeArrowheads="1"/>
                    </pic:cNvPicPr>
                  </pic:nvPicPr>
                  <pic:blipFill>
                    <a:blip r:embed="rId9" cstate="print"/>
                    <a:srcRect/>
                    <a:stretch>
                      <a:fillRect/>
                    </a:stretch>
                  </pic:blipFill>
                  <pic:spPr bwMode="auto">
                    <a:xfrm>
                      <a:off x="0" y="0"/>
                      <a:ext cx="228600" cy="104775"/>
                    </a:xfrm>
                    <a:prstGeom prst="rect">
                      <a:avLst/>
                    </a:prstGeom>
                    <a:noFill/>
                    <a:ln w="9525">
                      <a:noFill/>
                      <a:miter lim="800000"/>
                      <a:headEnd/>
                      <a:tailEnd/>
                    </a:ln>
                  </pic:spPr>
                </pic:pic>
              </a:graphicData>
            </a:graphic>
          </wp:inline>
        </w:drawing>
      </w:r>
      <w:r w:rsidRPr="0076425D">
        <w:rPr>
          <w:rFonts w:ascii="Arial" w:hAnsi="Arial" w:cs="Arial"/>
          <w:color w:val="403C4E"/>
          <w:sz w:val="15"/>
          <w:szCs w:val="15"/>
          <w:lang w:val="de-DE"/>
        </w:rPr>
        <w:br/>
      </w:r>
      <w:r w:rsidRPr="0076425D">
        <w:rPr>
          <w:rFonts w:ascii="Arial" w:hAnsi="Arial" w:cs="Arial"/>
          <w:b/>
          <w:bCs/>
          <w:color w:val="403C4E"/>
          <w:sz w:val="15"/>
          <w:szCs w:val="15"/>
          <w:lang w:val="de-DE"/>
        </w:rPr>
        <w:t>(5)</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Zitat nach Schrenck-Notzing: Charakterwäsche. Stuttgart 1965 S.59.</w:t>
      </w:r>
      <w:r w:rsidRPr="0076425D">
        <w:rPr>
          <w:rFonts w:ascii="Arial" w:hAnsi="Arial" w:cs="Arial"/>
          <w:color w:val="403C4E"/>
          <w:sz w:val="15"/>
          <w:szCs w:val="15"/>
          <w:lang w:val="de-DE"/>
        </w:rPr>
        <w:br/>
      </w:r>
      <w:r w:rsidRPr="0076425D">
        <w:rPr>
          <w:rFonts w:ascii="Arial" w:hAnsi="Arial" w:cs="Arial"/>
          <w:b/>
          <w:bCs/>
          <w:color w:val="403C4E"/>
          <w:sz w:val="15"/>
          <w:szCs w:val="15"/>
          <w:lang w:val="de-DE"/>
        </w:rPr>
        <w:t>(6)</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Jacques Bainville: Frankreichs Kriegsziel. 1939, S.114f.</w:t>
      </w:r>
      <w:r w:rsidRPr="0076425D">
        <w:rPr>
          <w:rFonts w:ascii="Arial" w:hAnsi="Arial" w:cs="Arial"/>
          <w:color w:val="403C4E"/>
          <w:sz w:val="15"/>
          <w:szCs w:val="15"/>
          <w:lang w:val="de-DE"/>
        </w:rPr>
        <w:br/>
      </w:r>
      <w:r w:rsidRPr="0076425D">
        <w:rPr>
          <w:rFonts w:ascii="Arial" w:hAnsi="Arial" w:cs="Arial"/>
          <w:b/>
          <w:bCs/>
          <w:color w:val="403C4E"/>
          <w:sz w:val="15"/>
          <w:szCs w:val="15"/>
          <w:lang w:val="de-DE"/>
        </w:rPr>
        <w:t>(7)</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R.G.Vansittart: Black Record. 1941, S.14. Sein Nachlaß:</w:t>
      </w:r>
      <w:r w:rsidRPr="0076425D">
        <w:rPr>
          <w:rStyle w:val="apple-converted-space"/>
          <w:rFonts w:ascii="Arial" w:eastAsiaTheme="majorEastAsia" w:hAnsi="Arial" w:cs="Arial"/>
          <w:color w:val="403C4E"/>
          <w:sz w:val="15"/>
          <w:szCs w:val="15"/>
          <w:lang w:val="de-DE"/>
        </w:rPr>
        <w:t> </w:t>
      </w:r>
      <w:r w:rsidRPr="0076425D">
        <w:rPr>
          <w:rStyle w:val="click"/>
          <w:rFonts w:ascii="Arial" w:hAnsi="Arial" w:cs="Arial"/>
          <w:color w:val="685896"/>
          <w:sz w:val="18"/>
          <w:szCs w:val="18"/>
          <w:bdr w:val="none" w:sz="0" w:space="0" w:color="auto" w:frame="1"/>
          <w:lang w:val="de-DE"/>
        </w:rPr>
        <w:t>Janus</w:t>
      </w:r>
      <w:r>
        <w:rPr>
          <w:rFonts w:ascii="Verdana" w:hAnsi="Verdana" w:cs="Arial"/>
          <w:noProof/>
          <w:color w:val="015812"/>
          <w:sz w:val="18"/>
          <w:szCs w:val="18"/>
          <w:bdr w:val="none" w:sz="0" w:space="0" w:color="auto" w:frame="1"/>
        </w:rPr>
        <w:drawing>
          <wp:inline distT="0" distB="0" distL="0" distR="0">
            <wp:extent cx="228600" cy="104775"/>
            <wp:effectExtent l="19050" t="0" r="0" b="0"/>
            <wp:docPr id="9" name="id14503249572589993" descr="extern">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14503249572589993" descr="extern">
                      <a:hlinkClick r:id="rId10" tgtFrame="&quot;_blank&quot;"/>
                    </pic:cNvPr>
                    <pic:cNvPicPr>
                      <a:picLocks noChangeAspect="1" noChangeArrowheads="1"/>
                    </pic:cNvPicPr>
                  </pic:nvPicPr>
                  <pic:blipFill>
                    <a:blip r:embed="rId9" cstate="print"/>
                    <a:srcRect/>
                    <a:stretch>
                      <a:fillRect/>
                    </a:stretch>
                  </pic:blipFill>
                  <pic:spPr bwMode="auto">
                    <a:xfrm>
                      <a:off x="0" y="0"/>
                      <a:ext cx="228600" cy="104775"/>
                    </a:xfrm>
                    <a:prstGeom prst="rect">
                      <a:avLst/>
                    </a:prstGeom>
                    <a:noFill/>
                    <a:ln w="9525">
                      <a:noFill/>
                      <a:miter lim="800000"/>
                      <a:headEnd/>
                      <a:tailEnd/>
                    </a:ln>
                  </pic:spPr>
                </pic:pic>
              </a:graphicData>
            </a:graphic>
          </wp:inline>
        </w:drawing>
      </w:r>
      <w:r w:rsidRPr="0076425D">
        <w:rPr>
          <w:rFonts w:ascii="Arial" w:hAnsi="Arial" w:cs="Arial"/>
          <w:color w:val="403C4E"/>
          <w:sz w:val="15"/>
          <w:szCs w:val="15"/>
          <w:lang w:val="de-DE"/>
        </w:rPr>
        <w:br/>
      </w:r>
      <w:r w:rsidRPr="0076425D">
        <w:rPr>
          <w:rFonts w:ascii="Arial" w:hAnsi="Arial" w:cs="Arial"/>
          <w:b/>
          <w:bCs/>
          <w:color w:val="403C4E"/>
          <w:sz w:val="15"/>
          <w:szCs w:val="15"/>
          <w:lang w:val="de-DE"/>
        </w:rPr>
        <w:t>(8)</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Howell in der englische Zeitung "Spectator", Oktober 1943.</w:t>
      </w:r>
      <w:r w:rsidRPr="0076425D">
        <w:rPr>
          <w:rFonts w:ascii="Arial" w:hAnsi="Arial" w:cs="Arial"/>
          <w:color w:val="403C4E"/>
          <w:sz w:val="15"/>
          <w:szCs w:val="15"/>
          <w:lang w:val="de-DE"/>
        </w:rPr>
        <w:br/>
      </w:r>
      <w:r w:rsidRPr="0076425D">
        <w:rPr>
          <w:rFonts w:ascii="Arial" w:hAnsi="Arial" w:cs="Arial"/>
          <w:b/>
          <w:bCs/>
          <w:color w:val="403C4E"/>
          <w:sz w:val="15"/>
          <w:szCs w:val="15"/>
          <w:lang w:val="de-DE"/>
        </w:rPr>
        <w:t>(9)</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Englische Wochenschrift "Statist", Mai 1944.</w:t>
      </w:r>
      <w:r w:rsidRPr="0076425D">
        <w:rPr>
          <w:rFonts w:ascii="Arial" w:hAnsi="Arial" w:cs="Arial"/>
          <w:color w:val="403C4E"/>
          <w:sz w:val="15"/>
          <w:szCs w:val="15"/>
          <w:lang w:val="de-DE"/>
        </w:rPr>
        <w:br/>
      </w:r>
      <w:r w:rsidRPr="0076425D">
        <w:rPr>
          <w:rFonts w:ascii="Arial" w:hAnsi="Arial" w:cs="Arial"/>
          <w:b/>
          <w:bCs/>
          <w:color w:val="403C4E"/>
          <w:sz w:val="15"/>
          <w:szCs w:val="15"/>
          <w:lang w:val="de-DE"/>
        </w:rPr>
        <w:t>(10)</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Kennan zitiert bei Georg Demmler: Der Kampf um die Weltherrschaft im 20. Jahrhundert. Hamburg 1970, S.16.</w:t>
      </w:r>
      <w:r w:rsidRPr="0076425D">
        <w:rPr>
          <w:rFonts w:ascii="Arial" w:hAnsi="Arial" w:cs="Arial"/>
          <w:color w:val="403C4E"/>
          <w:sz w:val="15"/>
          <w:szCs w:val="15"/>
          <w:lang w:val="de-DE"/>
        </w:rPr>
        <w:br/>
      </w:r>
      <w:r w:rsidRPr="0076425D">
        <w:rPr>
          <w:rFonts w:ascii="Arial" w:hAnsi="Arial" w:cs="Arial"/>
          <w:b/>
          <w:bCs/>
          <w:color w:val="403C4E"/>
          <w:sz w:val="15"/>
          <w:szCs w:val="15"/>
          <w:lang w:val="de-DE"/>
        </w:rPr>
        <w:t>(11)</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Vernichtungsvorbereitung und Memoiren bei Gerhard Müller: Überstaatliche Machtpolitik im 20. Jahrhundert. Pähl 1972, S.218.</w:t>
      </w:r>
      <w:r w:rsidRPr="0076425D">
        <w:rPr>
          <w:rFonts w:ascii="Arial" w:hAnsi="Arial" w:cs="Arial"/>
          <w:color w:val="403C4E"/>
          <w:sz w:val="15"/>
          <w:szCs w:val="15"/>
          <w:lang w:val="de-DE"/>
        </w:rPr>
        <w:br/>
      </w:r>
      <w:r w:rsidRPr="0076425D">
        <w:rPr>
          <w:rFonts w:ascii="Arial" w:hAnsi="Arial" w:cs="Arial"/>
          <w:b/>
          <w:bCs/>
          <w:color w:val="403C4E"/>
          <w:sz w:val="15"/>
          <w:szCs w:val="15"/>
          <w:lang w:val="de-DE"/>
        </w:rPr>
        <w:t>(12)</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Militärische Zukunft bei Franz. bei Hennig: Zeitgeschichtliche Aufdeckungen, S.36 - verwendet bei Peter Kleist: Auch du warst dabei. Heidelberg 1952)</w:t>
      </w:r>
      <w:r w:rsidRPr="0076425D">
        <w:rPr>
          <w:rFonts w:ascii="Arial" w:hAnsi="Arial" w:cs="Arial"/>
          <w:color w:val="403C4E"/>
          <w:sz w:val="15"/>
          <w:szCs w:val="15"/>
          <w:lang w:val="de-DE"/>
        </w:rPr>
        <w:br/>
      </w:r>
      <w:r w:rsidRPr="0076425D">
        <w:rPr>
          <w:rFonts w:ascii="Arial" w:hAnsi="Arial" w:cs="Arial"/>
          <w:b/>
          <w:bCs/>
          <w:color w:val="403C4E"/>
          <w:sz w:val="15"/>
          <w:szCs w:val="15"/>
          <w:lang w:val="de-DE"/>
        </w:rPr>
        <w:t>(13)</w:t>
      </w:r>
      <w:r w:rsidRPr="0076425D">
        <w:rPr>
          <w:rStyle w:val="apple-converted-space"/>
          <w:rFonts w:ascii="Arial" w:eastAsiaTheme="majorEastAsia" w:hAnsi="Arial" w:cs="Arial"/>
          <w:color w:val="403C4E"/>
          <w:sz w:val="15"/>
          <w:szCs w:val="15"/>
          <w:lang w:val="de-DE"/>
        </w:rPr>
        <w:t> </w:t>
      </w:r>
      <w:r w:rsidRPr="0076425D">
        <w:rPr>
          <w:rFonts w:ascii="Arial" w:hAnsi="Arial" w:cs="Arial"/>
          <w:color w:val="403C4E"/>
          <w:sz w:val="15"/>
          <w:szCs w:val="15"/>
          <w:lang w:val="de-DE"/>
        </w:rPr>
        <w:t>Prof. Harry E. Barnes: Die deutsche Kriegsschuldfrage. Tübingen 1968, S.80 und 89.</w:t>
      </w:r>
    </w:p>
    <w:p w:rsidR="0076425D" w:rsidRPr="0076425D" w:rsidRDefault="0076425D" w:rsidP="0076425D">
      <w:pPr>
        <w:pStyle w:val="NormalWeb"/>
        <w:spacing w:line="315" w:lineRule="atLeast"/>
        <w:rPr>
          <w:rFonts w:ascii="Arial" w:hAnsi="Arial" w:cs="Arial"/>
          <w:color w:val="403C4E"/>
          <w:sz w:val="21"/>
          <w:szCs w:val="21"/>
          <w:lang w:val="de-DE"/>
        </w:rPr>
      </w:pPr>
      <w:r w:rsidRPr="0076425D">
        <w:rPr>
          <w:rFonts w:ascii="Arial" w:hAnsi="Arial" w:cs="Arial"/>
          <w:color w:val="403C4E"/>
          <w:sz w:val="15"/>
          <w:szCs w:val="15"/>
          <w:lang w:val="de-DE"/>
        </w:rPr>
        <w:t> </w:t>
      </w:r>
    </w:p>
    <w:p w:rsidR="004B1C37" w:rsidRPr="0076425D" w:rsidRDefault="004B1C37" w:rsidP="004B1C37">
      <w:pPr>
        <w:rPr>
          <w:rFonts w:asciiTheme="minorHAnsi" w:hAnsiTheme="minorHAnsi"/>
          <w:lang w:val="de-DE"/>
        </w:rPr>
      </w:pPr>
    </w:p>
    <w:sectPr w:rsidR="004B1C37" w:rsidRPr="0076425D"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displayVerticalDrawingGridEvery w:val="2"/>
  <w:characterSpacingControl w:val="doNotCompress"/>
  <w:compat/>
  <w:rsids>
    <w:rsidRoot w:val="0076425D"/>
    <w:rsid w:val="00097E23"/>
    <w:rsid w:val="00184D2A"/>
    <w:rsid w:val="004B1C37"/>
    <w:rsid w:val="005819D7"/>
    <w:rsid w:val="005B5643"/>
    <w:rsid w:val="00604555"/>
    <w:rsid w:val="00605991"/>
    <w:rsid w:val="00676539"/>
    <w:rsid w:val="00697DB7"/>
    <w:rsid w:val="00750936"/>
    <w:rsid w:val="0076425D"/>
    <w:rsid w:val="008A6858"/>
    <w:rsid w:val="009F7959"/>
    <w:rsid w:val="00AB3C62"/>
    <w:rsid w:val="00AE1DEF"/>
    <w:rsid w:val="00B350E9"/>
    <w:rsid w:val="00BD4331"/>
    <w:rsid w:val="00D418C2"/>
    <w:rsid w:val="00F077A4"/>
    <w:rsid w:val="00F81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7A4"/>
    <w:pPr>
      <w:spacing w:after="0" w:line="240" w:lineRule="auto"/>
    </w:p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F077A4"/>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szCs w:val="32"/>
    </w:rPr>
  </w:style>
  <w:style w:type="paragraph" w:styleId="ListParagraph">
    <w:name w:val="List Paragraph"/>
    <w:basedOn w:val="Normal"/>
    <w:uiPriority w:val="34"/>
    <w:qFormat/>
    <w:rsid w:val="00F077A4"/>
    <w:pPr>
      <w:ind w:left="720"/>
      <w:contextualSpacing/>
    </w:pPr>
  </w:style>
  <w:style w:type="paragraph" w:styleId="Quote">
    <w:name w:val="Quote"/>
    <w:basedOn w:val="Normal"/>
    <w:next w:val="Normal"/>
    <w:link w:val="QuoteChar"/>
    <w:uiPriority w:val="29"/>
    <w:qFormat/>
    <w:rsid w:val="00F077A4"/>
    <w:rPr>
      <w:i/>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paragraph" w:styleId="NormalWeb">
    <w:name w:val="Normal (Web)"/>
    <w:basedOn w:val="Normal"/>
    <w:uiPriority w:val="99"/>
    <w:semiHidden/>
    <w:unhideWhenUsed/>
    <w:rsid w:val="0076425D"/>
    <w:pPr>
      <w:spacing w:before="100" w:beforeAutospacing="1" w:after="100" w:afterAutospacing="1"/>
    </w:pPr>
    <w:rPr>
      <w:rFonts w:eastAsia="Times New Roman"/>
      <w:lang w:bidi="ar-SA"/>
    </w:rPr>
  </w:style>
  <w:style w:type="character" w:customStyle="1" w:styleId="marker">
    <w:name w:val="marker"/>
    <w:basedOn w:val="DefaultParagraphFont"/>
    <w:rsid w:val="0076425D"/>
  </w:style>
  <w:style w:type="character" w:customStyle="1" w:styleId="apple-converted-space">
    <w:name w:val="apple-converted-space"/>
    <w:basedOn w:val="DefaultParagraphFont"/>
    <w:rsid w:val="0076425D"/>
  </w:style>
  <w:style w:type="character" w:customStyle="1" w:styleId="zitat">
    <w:name w:val="zitat"/>
    <w:basedOn w:val="DefaultParagraphFont"/>
    <w:rsid w:val="0076425D"/>
  </w:style>
  <w:style w:type="character" w:customStyle="1" w:styleId="click2">
    <w:name w:val="click2"/>
    <w:basedOn w:val="DefaultParagraphFont"/>
    <w:rsid w:val="0076425D"/>
  </w:style>
  <w:style w:type="character" w:customStyle="1" w:styleId="click">
    <w:name w:val="click"/>
    <w:basedOn w:val="DefaultParagraphFont"/>
    <w:rsid w:val="0076425D"/>
  </w:style>
  <w:style w:type="paragraph" w:styleId="BalloonText">
    <w:name w:val="Balloon Text"/>
    <w:basedOn w:val="Normal"/>
    <w:link w:val="BalloonTextChar"/>
    <w:uiPriority w:val="99"/>
    <w:semiHidden/>
    <w:unhideWhenUsed/>
    <w:rsid w:val="0076425D"/>
    <w:rPr>
      <w:rFonts w:ascii="Tahoma" w:hAnsi="Tahoma" w:cs="Tahoma"/>
      <w:sz w:val="16"/>
      <w:szCs w:val="16"/>
    </w:rPr>
  </w:style>
  <w:style w:type="character" w:customStyle="1" w:styleId="BalloonTextChar">
    <w:name w:val="Balloon Text Char"/>
    <w:basedOn w:val="DefaultParagraphFont"/>
    <w:link w:val="BalloonText"/>
    <w:uiPriority w:val="99"/>
    <w:semiHidden/>
    <w:rsid w:val="0076425D"/>
    <w:rPr>
      <w:rFonts w:ascii="Tahoma" w:hAnsi="Tahoma" w:cs="Tahoma"/>
      <w:sz w:val="16"/>
      <w:szCs w:val="16"/>
    </w:rPr>
  </w:style>
  <w:style w:type="character" w:styleId="Hyperlink">
    <w:name w:val="Hyperlink"/>
    <w:basedOn w:val="DefaultParagraphFont"/>
    <w:uiPriority w:val="99"/>
    <w:semiHidden/>
    <w:unhideWhenUsed/>
    <w:rsid w:val="0076425D"/>
    <w:rPr>
      <w:color w:val="0000FF"/>
      <w:u w:val="single"/>
    </w:rPr>
  </w:style>
</w:styles>
</file>

<file path=word/webSettings.xml><?xml version="1.0" encoding="utf-8"?>
<w:webSettings xmlns:r="http://schemas.openxmlformats.org/officeDocument/2006/relationships" xmlns:w="http://schemas.openxmlformats.org/wordprocessingml/2006/main">
  <w:divs>
    <w:div w:id="89882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tu-berlin.de/fb1/AGiW/Auditorium/HiHwAltG/Kap6.ht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istor.ws/seppdepp/022.php" TargetMode="External"/><Relationship Id="rId11" Type="http://schemas.openxmlformats.org/officeDocument/2006/relationships/fontTable" Target="fontTable.xml"/><Relationship Id="rId5" Type="http://schemas.openxmlformats.org/officeDocument/2006/relationships/image" Target="media/image1.gif"/><Relationship Id="rId10" Type="http://schemas.openxmlformats.org/officeDocument/2006/relationships/hyperlink" Target="http://janus.lib.cam.ac.uk/db/node.xsp?id=EAD%2FGBR%2F0014%2FVNST" TargetMode="External"/><Relationship Id="rId4" Type="http://schemas.openxmlformats.org/officeDocument/2006/relationships/hyperlink" Target="http://histor.ws/kontrovers/themen.php?a=4" TargetMode="Externa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1429</Words>
  <Characters>8147</Characters>
  <Application>Microsoft Office Word</Application>
  <DocSecurity>0</DocSecurity>
  <Lines>67</Lines>
  <Paragraphs>19</Paragraphs>
  <ScaleCrop>false</ScaleCrop>
  <Company/>
  <LinksUpToDate>false</LinksUpToDate>
  <CharactersWithSpaces>9557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2013-06-23T18:18:00Z</dcterms:created>
  <dcterms:modified xsi:type="dcterms:W3CDTF">2013-06-23T18:19:00Z</dcterms:modified>
</cp:coreProperties>
</file>